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CD7" w:rsidRDefault="00D35CD7" w:rsidP="005D7A86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Hlk54620657"/>
      <w:bookmarkStart w:id="1" w:name="_Hlk55818049"/>
      <w:r>
        <w:rPr>
          <w:rFonts w:ascii="Times New Roman" w:hAnsi="Times New Roman"/>
          <w:b/>
          <w:bCs/>
          <w:sz w:val="24"/>
          <w:szCs w:val="24"/>
        </w:rPr>
        <w:t>Triphenyl Phosphate Delayed Puberty Timing and Induced Decline of Ovarian Reserve in Mice as an Estrogen Receptor Antagonist</w:t>
      </w:r>
    </w:p>
    <w:bookmarkEnd w:id="0"/>
    <w:p w:rsidR="00D35CD7" w:rsidRDefault="00D35CD7" w:rsidP="002732D0">
      <w:pPr>
        <w:widowControl/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r w:rsidRPr="008F2B82">
        <w:rPr>
          <w:rFonts w:ascii="Times New Roman" w:hAnsi="Times New Roman"/>
          <w:sz w:val="24"/>
          <w:szCs w:val="24"/>
          <w:lang w:val="da-DK"/>
        </w:rPr>
        <w:t>Haojia Ma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a</w:t>
      </w:r>
      <w:r w:rsidRPr="008F2B82">
        <w:rPr>
          <w:rFonts w:ascii="Times New Roman" w:hAnsi="Times New Roman"/>
          <w:sz w:val="24"/>
          <w:szCs w:val="24"/>
          <w:lang w:val="da-DK"/>
        </w:rPr>
        <w:t>, Keishi Ishida</w:t>
      </w:r>
      <w:r>
        <w:rPr>
          <w:rFonts w:ascii="Times New Roman" w:hAnsi="Times New Roman"/>
          <w:sz w:val="24"/>
          <w:szCs w:val="24"/>
          <w:vertAlign w:val="superscript"/>
          <w:lang w:val="da-DK"/>
        </w:rPr>
        <w:t>b</w:t>
      </w:r>
      <w:r w:rsidRPr="008F2B82">
        <w:rPr>
          <w:rFonts w:ascii="Times New Roman" w:hAnsi="Times New Roman"/>
          <w:sz w:val="24"/>
          <w:szCs w:val="24"/>
          <w:lang w:val="da-DK"/>
        </w:rPr>
        <w:t>, Chenke Xu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a</w:t>
      </w:r>
      <w:r w:rsidRPr="008F2B82">
        <w:rPr>
          <w:rFonts w:ascii="Times New Roman" w:hAnsi="Times New Roman"/>
          <w:sz w:val="24"/>
          <w:szCs w:val="24"/>
          <w:lang w:val="da-DK"/>
        </w:rPr>
        <w:t>, Kyosuke Takahashi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b</w:t>
      </w:r>
      <w:r w:rsidRPr="008F2B82">
        <w:rPr>
          <w:rFonts w:ascii="Times New Roman" w:hAnsi="Times New Roman"/>
          <w:sz w:val="24"/>
          <w:szCs w:val="24"/>
          <w:lang w:val="da-DK"/>
        </w:rPr>
        <w:t>, Yu Li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a</w:t>
      </w:r>
      <w:r w:rsidRPr="008F2B82">
        <w:rPr>
          <w:rFonts w:ascii="Times New Roman" w:hAnsi="Times New Roman"/>
          <w:sz w:val="24"/>
          <w:szCs w:val="24"/>
          <w:lang w:val="da-DK"/>
        </w:rPr>
        <w:t>, Chenhao Zhang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a</w:t>
      </w:r>
      <w:r w:rsidRPr="008F2B82">
        <w:rPr>
          <w:rFonts w:ascii="Times New Roman" w:hAnsi="Times New Roman"/>
          <w:sz w:val="24"/>
          <w:szCs w:val="24"/>
          <w:lang w:val="da-DK"/>
        </w:rPr>
        <w:t>, Qiyue Kang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a</w:t>
      </w:r>
      <w:r w:rsidRPr="008F2B82">
        <w:rPr>
          <w:rFonts w:ascii="Times New Roman" w:hAnsi="Times New Roman"/>
          <w:sz w:val="24"/>
          <w:szCs w:val="24"/>
          <w:lang w:val="da-DK"/>
        </w:rPr>
        <w:t>, Yingting Jia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a</w:t>
      </w:r>
      <w:r w:rsidRPr="008F2B82">
        <w:rPr>
          <w:rFonts w:ascii="Times New Roman" w:hAnsi="Times New Roman"/>
          <w:sz w:val="24"/>
          <w:szCs w:val="24"/>
          <w:lang w:val="da-DK"/>
        </w:rPr>
        <w:t>, Wenxin Hu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a</w:t>
      </w:r>
      <w:r w:rsidRPr="008F2B82">
        <w:rPr>
          <w:rFonts w:ascii="Times New Roman" w:hAnsi="Times New Roman"/>
          <w:sz w:val="24"/>
          <w:szCs w:val="24"/>
          <w:lang w:val="da-DK"/>
        </w:rPr>
        <w:t>, Daisuke Matsumaru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b</w:t>
      </w:r>
      <w:r w:rsidRPr="008F2B82">
        <w:rPr>
          <w:rFonts w:ascii="Times New Roman" w:hAnsi="Times New Roman"/>
          <w:sz w:val="24"/>
          <w:szCs w:val="24"/>
          <w:lang w:val="da-DK"/>
        </w:rPr>
        <w:t>, Tsuyoshi Nakanishi</w:t>
      </w:r>
      <w:r w:rsidRPr="008F2B82">
        <w:rPr>
          <w:rFonts w:ascii="Times New Roman" w:hAnsi="Times New Roman"/>
          <w:sz w:val="24"/>
          <w:szCs w:val="24"/>
          <w:vertAlign w:val="superscript"/>
          <w:lang w:val="da-DK"/>
        </w:rPr>
        <w:t>b</w:t>
      </w:r>
      <w:r w:rsidRPr="008F2B82">
        <w:rPr>
          <w:rFonts w:ascii="Times New Roman" w:hAnsi="Times New Roman"/>
          <w:sz w:val="24"/>
          <w:szCs w:val="24"/>
          <w:lang w:val="da-DK"/>
        </w:rPr>
        <w:t>,</w:t>
      </w:r>
      <w:r>
        <w:rPr>
          <w:rFonts w:ascii="Times New Roman" w:hAnsi="Times New Roman"/>
          <w:sz w:val="24"/>
          <w:szCs w:val="24"/>
          <w:lang w:val="da-DK"/>
        </w:rPr>
        <w:t xml:space="preserve"> and Jianying Hu</w:t>
      </w:r>
      <w:r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  <w:vertAlign w:val="superscript"/>
        </w:rPr>
        <w:t>, a</w:t>
      </w:r>
      <w:bookmarkEnd w:id="1"/>
    </w:p>
    <w:p w:rsidR="00D35CD7" w:rsidRPr="002732D0" w:rsidRDefault="00D35CD7" w:rsidP="00905974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:rsidR="00D35CD7" w:rsidRDefault="00D35CD7" w:rsidP="00905974">
      <w:pPr>
        <w:spacing w:line="480" w:lineRule="auto"/>
        <w:rPr>
          <w:rFonts w:ascii="Times New Roman" w:hAnsi="Times New Roman"/>
          <w:sz w:val="24"/>
          <w:szCs w:val="24"/>
        </w:rPr>
      </w:pPr>
      <w:r w:rsidRPr="00603FDD">
        <w:rPr>
          <w:rFonts w:ascii="Times New Roman" w:hAnsi="Times New Roman"/>
          <w:sz w:val="24"/>
          <w:szCs w:val="24"/>
          <w:vertAlign w:val="superscript"/>
        </w:rPr>
        <w:t>a</w:t>
      </w:r>
      <w:r w:rsidRPr="00501084">
        <w:rPr>
          <w:rFonts w:ascii="Times New Roman" w:hAnsi="Times New Roman"/>
          <w:sz w:val="24"/>
          <w:szCs w:val="24"/>
        </w:rPr>
        <w:t>MOE Laboratory for Earth Surface Process, College of Urban and Environmental Sciences, Peking University, Beijing</w:t>
      </w:r>
      <w:r>
        <w:rPr>
          <w:rFonts w:ascii="Times New Roman" w:hAnsi="Times New Roman"/>
          <w:sz w:val="24"/>
          <w:szCs w:val="24"/>
        </w:rPr>
        <w:t>,</w:t>
      </w:r>
      <w:r w:rsidRPr="00501084">
        <w:rPr>
          <w:rFonts w:ascii="Times New Roman" w:hAnsi="Times New Roman"/>
          <w:sz w:val="24"/>
          <w:szCs w:val="24"/>
        </w:rPr>
        <w:t xml:space="preserve"> 100871, China</w:t>
      </w:r>
    </w:p>
    <w:p w:rsidR="00D35CD7" w:rsidRDefault="00D35CD7" w:rsidP="00905974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b</w:t>
      </w:r>
      <w:r w:rsidRPr="00603FDD">
        <w:rPr>
          <w:rFonts w:ascii="Times New Roman" w:hAnsi="Times New Roman"/>
          <w:sz w:val="24"/>
          <w:szCs w:val="24"/>
        </w:rPr>
        <w:t>Laboratory of Hygienic Chemistry and Molecular Toxicology, Gifu Pharmaceutical University, 1-25-4 Daigaku-nishi, Gifu, Gifu, 501-1196, Japan</w:t>
      </w:r>
    </w:p>
    <w:p w:rsidR="00D35CD7" w:rsidRPr="00603FDD" w:rsidRDefault="00D35CD7" w:rsidP="00905974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D35CD7" w:rsidRDefault="00D35CD7" w:rsidP="00905974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Corresponding author:</w:t>
      </w:r>
    </w:p>
    <w:p w:rsidR="00D35CD7" w:rsidRPr="001A4B6A" w:rsidRDefault="00D35CD7" w:rsidP="00905974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Jianying HU</w:t>
      </w:r>
      <w:r>
        <w:rPr>
          <w:rFonts w:ascii="Times New Roman" w:hAnsi="Times New Roman"/>
          <w:sz w:val="24"/>
          <w:szCs w:val="24"/>
        </w:rPr>
        <w:t xml:space="preserve">, College of Urban and Environmental Sciences, Peking University, Beijing 100871, China, TEL &amp; FAX: 86-10-62765520, e-mail: </w:t>
      </w:r>
      <w:hyperlink r:id="rId6" w:history="1">
        <w:r>
          <w:rPr>
            <w:rFonts w:ascii="Times New Roman" w:hAnsi="Times New Roman"/>
            <w:sz w:val="24"/>
            <w:szCs w:val="24"/>
          </w:rPr>
          <w:t>hujy@urban.pku.edu.cn</w:t>
        </w:r>
      </w:hyperlink>
      <w:bookmarkStart w:id="2" w:name="_GoBack"/>
      <w:bookmarkEnd w:id="2"/>
    </w:p>
    <w:p w:rsidR="00D35CD7" w:rsidRDefault="00D35CD7" w:rsidP="00905974">
      <w:pPr>
        <w:widowControl/>
        <w:spacing w:line="48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:rsidR="00D35CD7" w:rsidRDefault="00D35CD7" w:rsidP="00905974">
      <w:pPr>
        <w:spacing w:line="480" w:lineRule="auto"/>
        <w:rPr>
          <w:rFonts w:ascii="Times New Roman" w:hAnsi="Times New Roman"/>
          <w:sz w:val="24"/>
          <w:szCs w:val="24"/>
        </w:rPr>
      </w:pPr>
      <w:r w:rsidRPr="00076954">
        <w:rPr>
          <w:rFonts w:ascii="Times New Roman" w:hAnsi="Times New Roman"/>
          <w:b/>
          <w:sz w:val="24"/>
          <w:szCs w:val="24"/>
        </w:rPr>
        <w:t>Chemicals</w:t>
      </w:r>
      <w:r>
        <w:rPr>
          <w:rFonts w:ascii="Times New Roman" w:hAnsi="Times New Roman"/>
          <w:b/>
          <w:sz w:val="24"/>
          <w:szCs w:val="24"/>
        </w:rPr>
        <w:t xml:space="preserve"> and Regents. </w:t>
      </w:r>
      <w:r>
        <w:rPr>
          <w:rFonts w:ascii="Times New Roman" w:hAnsi="Times New Roman"/>
          <w:sz w:val="24"/>
          <w:szCs w:val="24"/>
        </w:rPr>
        <w:t>All the chemicals and regents used in this study were listed in Table S1.</w:t>
      </w:r>
    </w:p>
    <w:p w:rsidR="00D35CD7" w:rsidRDefault="00D35CD7" w:rsidP="002732D0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S1. </w:t>
      </w:r>
      <w:r w:rsidRPr="00BE4799">
        <w:rPr>
          <w:rFonts w:ascii="Times New Roman" w:hAnsi="Times New Roman"/>
          <w:sz w:val="24"/>
          <w:szCs w:val="24"/>
        </w:rPr>
        <w:t>Chemicals and reagents</w:t>
      </w:r>
    </w:p>
    <w:tbl>
      <w:tblPr>
        <w:tblW w:w="8354" w:type="dxa"/>
        <w:tblInd w:w="10" w:type="dxa"/>
        <w:tblLayout w:type="fixed"/>
        <w:tblLook w:val="00A0"/>
      </w:tblPr>
      <w:tblGrid>
        <w:gridCol w:w="3959"/>
        <w:gridCol w:w="4395"/>
      </w:tblGrid>
      <w:tr w:rsidR="00D35CD7" w:rsidRPr="00620F8B" w:rsidTr="00620F8B">
        <w:trPr>
          <w:trHeight w:val="312"/>
        </w:trPr>
        <w:tc>
          <w:tcPr>
            <w:tcW w:w="3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/>
                <w:bCs/>
                <w:sz w:val="24"/>
                <w:szCs w:val="24"/>
              </w:rPr>
              <w:t>Chemical/Reagent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/>
                <w:bCs/>
                <w:sz w:val="24"/>
                <w:szCs w:val="24"/>
              </w:rPr>
              <w:t>Source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tcBorders>
              <w:top w:val="single" w:sz="4" w:space="0" w:color="auto"/>
            </w:tcBorders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Hexane (pesticide residue grade)</w:t>
            </w:r>
          </w:p>
        </w:tc>
        <w:tc>
          <w:tcPr>
            <w:tcW w:w="4395" w:type="dxa"/>
            <w:tcBorders>
              <w:top w:val="single" w:sz="4" w:space="0" w:color="auto"/>
            </w:tcBorders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Fisher Chemicals (</w:t>
            </w:r>
            <w:r w:rsidRPr="00620F8B">
              <w:rPr>
                <w:rFonts w:ascii="Times New Roman" w:hAnsi="Times New Roman"/>
                <w:sz w:val="24"/>
                <w:szCs w:val="24"/>
              </w:rPr>
              <w:t>Fair Lawn, USA</w:t>
            </w: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Methanol (pesticide residue grade)</w:t>
            </w:r>
          </w:p>
        </w:tc>
        <w:tc>
          <w:tcPr>
            <w:tcW w:w="4395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Fisher Chemicals (</w:t>
            </w:r>
            <w:r w:rsidRPr="00620F8B">
              <w:rPr>
                <w:rFonts w:ascii="Times New Roman" w:hAnsi="Times New Roman"/>
                <w:sz w:val="24"/>
                <w:szCs w:val="24"/>
              </w:rPr>
              <w:t>Fair Lawn, USA</w:t>
            </w: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Acetone (pesticide residue grade)</w:t>
            </w:r>
          </w:p>
        </w:tc>
        <w:tc>
          <w:tcPr>
            <w:tcW w:w="4395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Fisher Chemicals (</w:t>
            </w:r>
            <w:r w:rsidRPr="00620F8B">
              <w:rPr>
                <w:rFonts w:ascii="Times New Roman" w:hAnsi="Times New Roman"/>
                <w:sz w:val="24"/>
                <w:szCs w:val="24"/>
              </w:rPr>
              <w:t>Fair Lawn, USA</w:t>
            </w: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Ethyl acetate (pesticide residue grade)</w:t>
            </w:r>
          </w:p>
        </w:tc>
        <w:tc>
          <w:tcPr>
            <w:tcW w:w="4395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Fisher Chemicals (</w:t>
            </w:r>
            <w:r w:rsidRPr="00620F8B">
              <w:rPr>
                <w:rFonts w:ascii="Times New Roman" w:hAnsi="Times New Roman"/>
                <w:sz w:val="24"/>
                <w:szCs w:val="24"/>
              </w:rPr>
              <w:t>Fair Lawn, USA</w:t>
            </w: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sz w:val="24"/>
                <w:szCs w:val="24"/>
              </w:rPr>
              <w:t xml:space="preserve">Dichloromethane </w:t>
            </w: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(pesticide residue grade)</w:t>
            </w:r>
          </w:p>
        </w:tc>
        <w:tc>
          <w:tcPr>
            <w:tcW w:w="4395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Fisher Chemicals (</w:t>
            </w:r>
            <w:r w:rsidRPr="00620F8B">
              <w:rPr>
                <w:rFonts w:ascii="Times New Roman" w:hAnsi="Times New Roman"/>
                <w:sz w:val="24"/>
                <w:szCs w:val="24"/>
              </w:rPr>
              <w:t>Fair Lawn, USA</w:t>
            </w: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F8B">
              <w:rPr>
                <w:rFonts w:ascii="Times New Roman" w:hAnsi="Times New Roman"/>
                <w:sz w:val="24"/>
                <w:szCs w:val="24"/>
              </w:rPr>
              <w:t xml:space="preserve">Methyl tert-butyl ether </w:t>
            </w: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(pesticide residue grade)</w:t>
            </w:r>
          </w:p>
        </w:tc>
        <w:tc>
          <w:tcPr>
            <w:tcW w:w="4395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Fisher Chemicals (</w:t>
            </w:r>
            <w:r w:rsidRPr="00620F8B">
              <w:rPr>
                <w:rFonts w:ascii="Times New Roman" w:hAnsi="Times New Roman"/>
                <w:sz w:val="24"/>
                <w:szCs w:val="24"/>
              </w:rPr>
              <w:t>Fair Lawn, USA</w:t>
            </w: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F8B">
              <w:rPr>
                <w:rFonts w:ascii="Times New Roman" w:hAnsi="Times New Roman"/>
                <w:bCs/>
                <w:sz w:val="24"/>
                <w:szCs w:val="24"/>
              </w:rPr>
              <w:t>Formic acid (HPLC grade)</w:t>
            </w:r>
          </w:p>
        </w:tc>
        <w:tc>
          <w:tcPr>
            <w:tcW w:w="4395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F8B">
              <w:rPr>
                <w:rFonts w:ascii="Times New Roman" w:hAnsi="Times New Roman"/>
                <w:sz w:val="24"/>
                <w:szCs w:val="24"/>
              </w:rPr>
              <w:t>Dikma Technologies Inc. (Phillipsburg, USA)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F8B">
              <w:rPr>
                <w:rFonts w:ascii="Times New Roman" w:hAnsi="Times New Roman"/>
                <w:sz w:val="24"/>
                <w:szCs w:val="24"/>
              </w:rPr>
              <w:t>Triphenyl phosphate (TPhP)</w:t>
            </w:r>
          </w:p>
        </w:tc>
        <w:tc>
          <w:tcPr>
            <w:tcW w:w="4395" w:type="dxa"/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F8B">
              <w:rPr>
                <w:rFonts w:ascii="Times New Roman" w:hAnsi="Times New Roman"/>
                <w:sz w:val="24"/>
                <w:szCs w:val="24"/>
              </w:rPr>
              <w:t>Tokyo Chemical Industry Co (Tokyo, Japan)</w:t>
            </w:r>
          </w:p>
        </w:tc>
      </w:tr>
      <w:tr w:rsidR="00D35CD7" w:rsidRPr="00620F8B" w:rsidTr="00620F8B">
        <w:trPr>
          <w:trHeight w:val="312"/>
        </w:trPr>
        <w:tc>
          <w:tcPr>
            <w:tcW w:w="3959" w:type="dxa"/>
            <w:tcBorders>
              <w:bottom w:val="single" w:sz="4" w:space="0" w:color="auto"/>
            </w:tcBorders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F8B">
              <w:rPr>
                <w:rFonts w:ascii="Times New Roman" w:hAnsi="Times New Roman"/>
                <w:sz w:val="24"/>
                <w:szCs w:val="24"/>
              </w:rPr>
              <w:t>Bond Elut - NH</w:t>
            </w:r>
            <w:r w:rsidRPr="00620F8B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:rsidR="00D35CD7" w:rsidRPr="00620F8B" w:rsidRDefault="00D35CD7" w:rsidP="00620F8B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F8B">
              <w:rPr>
                <w:rFonts w:ascii="Times New Roman" w:hAnsi="Times New Roman"/>
                <w:sz w:val="24"/>
                <w:szCs w:val="24"/>
              </w:rPr>
              <w:t>Agilent Technologies. Inc.</w:t>
            </w:r>
          </w:p>
        </w:tc>
      </w:tr>
    </w:tbl>
    <w:p w:rsidR="00D35CD7" w:rsidRPr="002732D0" w:rsidRDefault="00D35CD7" w:rsidP="002732D0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D35CD7" w:rsidRDefault="00D35CD7" w:rsidP="00D00739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6" type="#_x0000_t75" style="position:absolute;margin-left:0;margin-top:.05pt;width:326.4pt;height:159.75pt;z-index:251658240;visibility:visible;mso-position-horizontal:left;mso-position-horizontal-relative:margin">
            <v:imagedata r:id="rId7" o:title=""/>
            <w10:wrap type="topAndBottom" anchorx="margin"/>
          </v:shape>
        </w:pict>
      </w:r>
      <w:r w:rsidRPr="007B040E">
        <w:rPr>
          <w:rFonts w:ascii="Times New Roman" w:hAnsi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hAnsi="Times New Roman"/>
          <w:b/>
          <w:bCs/>
          <w:kern w:val="0"/>
          <w:sz w:val="24"/>
          <w:szCs w:val="24"/>
        </w:rPr>
        <w:t>1</w:t>
      </w:r>
      <w:r w:rsidRPr="00E21D03">
        <w:rPr>
          <w:rFonts w:ascii="Times New Roman" w:hAnsi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Pr="005D7A86">
        <w:rPr>
          <w:rFonts w:ascii="Times New Roman" w:hAnsi="Times New Roman"/>
          <w:kern w:val="0"/>
          <w:sz w:val="24"/>
          <w:szCs w:val="24"/>
        </w:rPr>
        <w:t xml:space="preserve">Data collection schematic for study of </w:t>
      </w:r>
      <w:r>
        <w:rPr>
          <w:rFonts w:ascii="Times New Roman" w:hAnsi="Times New Roman"/>
          <w:kern w:val="0"/>
          <w:sz w:val="24"/>
          <w:szCs w:val="24"/>
        </w:rPr>
        <w:t>TPhP</w:t>
      </w:r>
      <w:r w:rsidRPr="005D7A86">
        <w:rPr>
          <w:rFonts w:ascii="Times New Roman" w:hAnsi="Times New Roman"/>
          <w:kern w:val="0"/>
          <w:sz w:val="24"/>
          <w:szCs w:val="24"/>
        </w:rPr>
        <w:t>-exposed female</w:t>
      </w:r>
      <w:r>
        <w:rPr>
          <w:rFonts w:ascii="Times New Roman" w:hAnsi="Times New Roman"/>
          <w:kern w:val="0"/>
          <w:sz w:val="24"/>
          <w:szCs w:val="24"/>
        </w:rPr>
        <w:t xml:space="preserve"> C57BL/6</w:t>
      </w:r>
      <w:r w:rsidRPr="005D7A86">
        <w:rPr>
          <w:rFonts w:ascii="Times New Roman" w:hAnsi="Times New Roman"/>
          <w:kern w:val="0"/>
          <w:sz w:val="24"/>
          <w:szCs w:val="24"/>
        </w:rPr>
        <w:t xml:space="preserve"> mice.</w:t>
      </w:r>
    </w:p>
    <w:p w:rsidR="00D35CD7" w:rsidRDefault="00D35CD7" w:rsidP="00D00739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:rsidR="00D35CD7" w:rsidRDefault="00D35CD7" w:rsidP="00D00739">
      <w:pPr>
        <w:widowControl/>
        <w:jc w:val="left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noProof/>
        </w:rPr>
        <w:pict>
          <v:shape id="图片 11" o:spid="_x0000_s1027" type="#_x0000_t75" style="position:absolute;margin-left:1.25pt;margin-top:20.35pt;width:194.65pt;height:166.5pt;z-index:251657216;visibility:visible">
            <v:imagedata r:id="rId8" o:title="" croptop="1389f" cropbottom="2484f" cropleft="1239f"/>
            <w10:wrap type="topAndBottom"/>
          </v:shape>
        </w:pict>
      </w:r>
    </w:p>
    <w:p w:rsidR="00D35CD7" w:rsidRDefault="00D35CD7" w:rsidP="00D00739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 w:rsidRPr="007B040E">
        <w:rPr>
          <w:rFonts w:ascii="Times New Roman" w:hAnsi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hAnsi="Times New Roman"/>
          <w:b/>
          <w:bCs/>
          <w:kern w:val="0"/>
          <w:sz w:val="24"/>
          <w:szCs w:val="24"/>
        </w:rPr>
        <w:t>2</w:t>
      </w:r>
      <w:r w:rsidRPr="00E21D03">
        <w:rPr>
          <w:rFonts w:ascii="Times New Roman" w:hAnsi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(A) Body weight from PND 21 to 61 and (B) relative ovary weight at PND 61 of female C57BL/6 mice after 40-day TPhP exposure (n=6). </w:t>
      </w:r>
    </w:p>
    <w:p w:rsidR="00D35CD7" w:rsidRPr="00D00739" w:rsidRDefault="00D35CD7" w:rsidP="00905974">
      <w:pPr>
        <w:spacing w:line="480" w:lineRule="auto"/>
        <w:rPr>
          <w:rFonts w:ascii="Times New Roman" w:hAnsi="Times New Roman"/>
          <w:b/>
          <w:i/>
          <w:sz w:val="24"/>
          <w:szCs w:val="24"/>
        </w:rPr>
      </w:pPr>
    </w:p>
    <w:p w:rsidR="00D35CD7" w:rsidRDefault="00D35CD7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:rsidR="00D35CD7" w:rsidRPr="00F24AF7" w:rsidRDefault="00D35CD7" w:rsidP="00D675DF">
      <w:pPr>
        <w:spacing w:line="48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24AF7">
        <w:rPr>
          <w:rFonts w:ascii="Times New Roman" w:hAnsi="Times New Roman"/>
          <w:b/>
          <w:bCs/>
          <w:i/>
          <w:iCs/>
          <w:sz w:val="24"/>
          <w:szCs w:val="24"/>
        </w:rPr>
        <w:t xml:space="preserve">Determination of TPhP and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H</w:t>
      </w:r>
      <w:r w:rsidRPr="00F24AF7">
        <w:rPr>
          <w:rFonts w:ascii="Times New Roman" w:hAnsi="Times New Roman"/>
          <w:b/>
          <w:bCs/>
          <w:i/>
          <w:iCs/>
          <w:sz w:val="24"/>
          <w:szCs w:val="24"/>
        </w:rPr>
        <w:t xml:space="preserve">ormone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C</w:t>
      </w:r>
      <w:r w:rsidRPr="00F24AF7">
        <w:rPr>
          <w:rFonts w:ascii="Times New Roman" w:hAnsi="Times New Roman"/>
          <w:b/>
          <w:bCs/>
          <w:i/>
          <w:iCs/>
          <w:sz w:val="24"/>
          <w:szCs w:val="24"/>
        </w:rPr>
        <w:t>oncentrations</w:t>
      </w:r>
    </w:p>
    <w:p w:rsidR="00D35CD7" w:rsidRDefault="00D35CD7" w:rsidP="00D675DF">
      <w:pPr>
        <w:spacing w:line="480" w:lineRule="auto"/>
        <w:ind w:firstLine="4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Serum concentration of TPhP and sex hormone including </w:t>
      </w:r>
      <w:r w:rsidRPr="00C92A60">
        <w:rPr>
          <w:rFonts w:ascii="Times New Roman" w:hAnsi="Times New Roman"/>
          <w:sz w:val="24"/>
          <w:szCs w:val="24"/>
        </w:rPr>
        <w:t>17β-E</w:t>
      </w:r>
      <w:r w:rsidRPr="00C92A60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, T, PGT were determined following our previous studies</w:t>
      </w:r>
      <w:r w:rsidRPr="00C92A60">
        <w:rPr>
          <w:rFonts w:ascii="Times New Roman" w:hAnsi="Times New Roman"/>
          <w:sz w:val="24"/>
          <w:szCs w:val="24"/>
        </w:rPr>
        <w:t xml:space="preserve"> (Wang </w:t>
      </w:r>
      <w:r>
        <w:rPr>
          <w:rFonts w:ascii="Times New Roman" w:hAnsi="Times New Roman"/>
          <w:sz w:val="24"/>
          <w:szCs w:val="24"/>
        </w:rPr>
        <w:t>et al.,</w:t>
      </w:r>
      <w:r w:rsidRPr="00C92A60">
        <w:rPr>
          <w:rFonts w:ascii="Times New Roman" w:hAnsi="Times New Roman"/>
          <w:sz w:val="24"/>
          <w:szCs w:val="24"/>
        </w:rPr>
        <w:t xml:space="preserve"> 2016</w:t>
      </w:r>
      <w:r>
        <w:rPr>
          <w:rFonts w:ascii="Times New Roman" w:hAnsi="Times New Roman"/>
          <w:sz w:val="24"/>
          <w:szCs w:val="24"/>
        </w:rPr>
        <w:t>;</w:t>
      </w:r>
      <w:r w:rsidRPr="008F6DCD">
        <w:rPr>
          <w:rFonts w:ascii="Times New Roman" w:hAnsi="Times New Roman"/>
          <w:sz w:val="24"/>
          <w:szCs w:val="24"/>
        </w:rPr>
        <w:t xml:space="preserve"> </w:t>
      </w:r>
      <w:r w:rsidRPr="00C92A60">
        <w:rPr>
          <w:rFonts w:ascii="Times New Roman" w:hAnsi="Times New Roman"/>
          <w:sz w:val="24"/>
          <w:szCs w:val="24"/>
        </w:rPr>
        <w:t xml:space="preserve">Li </w:t>
      </w:r>
      <w:r>
        <w:rPr>
          <w:rFonts w:ascii="Times New Roman" w:hAnsi="Times New Roman"/>
          <w:sz w:val="24"/>
          <w:szCs w:val="24"/>
        </w:rPr>
        <w:t>et al.,</w:t>
      </w:r>
      <w:r w:rsidRPr="00C92A60">
        <w:rPr>
          <w:rFonts w:ascii="Times New Roman" w:hAnsi="Times New Roman"/>
          <w:sz w:val="24"/>
          <w:szCs w:val="24"/>
        </w:rPr>
        <w:t xml:space="preserve"> 201</w:t>
      </w:r>
      <w:r>
        <w:rPr>
          <w:rFonts w:ascii="Times New Roman" w:hAnsi="Times New Roman"/>
          <w:sz w:val="24"/>
          <w:szCs w:val="24"/>
        </w:rPr>
        <w:t>9</w:t>
      </w:r>
      <w:r w:rsidRPr="00C92A60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 For TPhP,</w:t>
      </w:r>
      <w:r w:rsidRPr="00C92A60">
        <w:rPr>
          <w:rFonts w:ascii="Times New Roman" w:hAnsi="Times New Roman"/>
          <w:sz w:val="24"/>
          <w:szCs w:val="24"/>
        </w:rPr>
        <w:t xml:space="preserve"> the </w:t>
      </w:r>
      <w:r>
        <w:rPr>
          <w:rFonts w:ascii="Times New Roman" w:hAnsi="Times New Roman"/>
          <w:sz w:val="24"/>
          <w:szCs w:val="24"/>
        </w:rPr>
        <w:t>pooled</w:t>
      </w:r>
      <w:r w:rsidRPr="00C92A60">
        <w:rPr>
          <w:rFonts w:ascii="Times New Roman" w:hAnsi="Times New Roman"/>
          <w:sz w:val="24"/>
          <w:szCs w:val="24"/>
        </w:rPr>
        <w:t xml:space="preserve"> samples</w:t>
      </w:r>
      <w:r>
        <w:rPr>
          <w:rFonts w:ascii="Times New Roman" w:hAnsi="Times New Roman"/>
          <w:sz w:val="24"/>
          <w:szCs w:val="24"/>
        </w:rPr>
        <w:t xml:space="preserve"> for blood</w:t>
      </w:r>
      <w:r w:rsidRPr="00C92A60">
        <w:rPr>
          <w:rFonts w:ascii="Times New Roman" w:hAnsi="Times New Roman"/>
          <w:sz w:val="24"/>
          <w:szCs w:val="24"/>
        </w:rPr>
        <w:t xml:space="preserve"> were</w:t>
      </w:r>
      <w:r>
        <w:rPr>
          <w:rFonts w:ascii="Times New Roman" w:hAnsi="Times New Roman"/>
          <w:sz w:val="24"/>
          <w:szCs w:val="24"/>
        </w:rPr>
        <w:t xml:space="preserve"> rested</w:t>
      </w:r>
      <w:r w:rsidRPr="00C92A60">
        <w:rPr>
          <w:rFonts w:ascii="Times New Roman" w:hAnsi="Times New Roman"/>
          <w:sz w:val="24"/>
          <w:szCs w:val="24"/>
        </w:rPr>
        <w:t xml:space="preserve"> for 2 h at room temperature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C92A60">
        <w:rPr>
          <w:rFonts w:ascii="Times New Roman" w:hAnsi="Times New Roman"/>
          <w:sz w:val="24"/>
          <w:szCs w:val="24"/>
        </w:rPr>
        <w:t xml:space="preserve">centrifuged </w:t>
      </w:r>
      <w:r>
        <w:rPr>
          <w:rFonts w:ascii="Times New Roman" w:hAnsi="Times New Roman"/>
          <w:sz w:val="24"/>
          <w:szCs w:val="24"/>
        </w:rPr>
        <w:t xml:space="preserve">for 5min at </w:t>
      </w:r>
      <w:r w:rsidRPr="00C92A60">
        <w:rPr>
          <w:rFonts w:ascii="Times New Roman" w:hAnsi="Times New Roman"/>
          <w:sz w:val="24"/>
          <w:szCs w:val="24"/>
        </w:rPr>
        <w:t>3800 rpm</w:t>
      </w:r>
      <w:r>
        <w:rPr>
          <w:rFonts w:ascii="Times New Roman" w:hAnsi="Times New Roman"/>
          <w:sz w:val="24"/>
          <w:szCs w:val="24"/>
        </w:rPr>
        <w:t xml:space="preserve"> (</w:t>
      </w:r>
      <w:r w:rsidRPr="00C92A60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°</w:t>
      </w:r>
      <w:r w:rsidRPr="00C92A60">
        <w:rPr>
          <w:rFonts w:ascii="Times New Roman" w:hAnsi="Times New Roman"/>
          <w:sz w:val="24"/>
          <w:szCs w:val="24"/>
        </w:rPr>
        <w:t>C).</w:t>
      </w:r>
      <w:r>
        <w:rPr>
          <w:rFonts w:ascii="Times New Roman" w:hAnsi="Times New Roman"/>
          <w:sz w:val="24"/>
          <w:szCs w:val="24"/>
        </w:rPr>
        <w:t xml:space="preserve"> The internal standard of TPhP-d</w:t>
      </w:r>
      <w:r w:rsidRPr="00721AAB">
        <w:rPr>
          <w:rFonts w:ascii="Times New Roman" w:hAnsi="Times New Roman"/>
          <w:sz w:val="24"/>
          <w:szCs w:val="24"/>
          <w:vertAlign w:val="subscript"/>
        </w:rPr>
        <w:t>15</w:t>
      </w:r>
      <w:r>
        <w:rPr>
          <w:rFonts w:ascii="Times New Roman" w:hAnsi="Times New Roman"/>
          <w:sz w:val="24"/>
          <w:szCs w:val="24"/>
        </w:rPr>
        <w:t xml:space="preserve"> (1 ng) was firstly added into serum (100 μL). After adding 3 mL of ethyl acetate (EA), the mixed sample was shaken for 20 min at 300 rpm and centrifuged for</w:t>
      </w:r>
      <w:r w:rsidRPr="00C92A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</w:t>
      </w:r>
      <w:r w:rsidRPr="00C92A60">
        <w:rPr>
          <w:rFonts w:ascii="Times New Roman" w:hAnsi="Times New Roman"/>
          <w:sz w:val="24"/>
          <w:szCs w:val="24"/>
        </w:rPr>
        <w:t xml:space="preserve"> min</w:t>
      </w:r>
      <w:r>
        <w:rPr>
          <w:rFonts w:ascii="Times New Roman" w:hAnsi="Times New Roman"/>
          <w:sz w:val="24"/>
          <w:szCs w:val="24"/>
        </w:rPr>
        <w:t xml:space="preserve"> at 40</w:t>
      </w:r>
      <w:r w:rsidRPr="00C92A60">
        <w:rPr>
          <w:rFonts w:ascii="Times New Roman" w:hAnsi="Times New Roman"/>
          <w:sz w:val="24"/>
          <w:szCs w:val="24"/>
        </w:rPr>
        <w:t>00 rpm</w:t>
      </w:r>
      <w:r>
        <w:rPr>
          <w:rFonts w:ascii="Times New Roman" w:hAnsi="Times New Roman"/>
          <w:sz w:val="24"/>
          <w:szCs w:val="24"/>
        </w:rPr>
        <w:t xml:space="preserve"> (20 °</w:t>
      </w:r>
      <w:r w:rsidRPr="00C92A60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). The </w:t>
      </w:r>
      <w:r w:rsidRPr="00867DCC">
        <w:rPr>
          <w:rFonts w:ascii="Times New Roman" w:hAnsi="Times New Roman"/>
          <w:sz w:val="24"/>
          <w:szCs w:val="24"/>
        </w:rPr>
        <w:t>supernatant</w:t>
      </w:r>
      <w:r>
        <w:rPr>
          <w:rFonts w:ascii="Times New Roman" w:hAnsi="Times New Roman"/>
          <w:sz w:val="24"/>
          <w:szCs w:val="24"/>
        </w:rPr>
        <w:t xml:space="preserve"> (EA) was collected into a glass tube, and the extraction repeated 3 times totally. The extracts were combined and evaporated to dryness under a gentle stream of high-purity nitrogen. Then the analytes were re</w:t>
      </w:r>
      <w:r w:rsidRPr="001B2F22">
        <w:rPr>
          <w:rFonts w:ascii="Times New Roman" w:hAnsi="Times New Roman"/>
          <w:sz w:val="24"/>
          <w:szCs w:val="24"/>
        </w:rPr>
        <w:t>dissolved</w:t>
      </w:r>
      <w:r>
        <w:rPr>
          <w:rFonts w:ascii="Times New Roman" w:hAnsi="Times New Roman"/>
          <w:sz w:val="24"/>
          <w:szCs w:val="24"/>
        </w:rPr>
        <w:t xml:space="preserve"> in 1 mL </w:t>
      </w:r>
      <w:r w:rsidRPr="001B2F22">
        <w:rPr>
          <w:rFonts w:ascii="Times New Roman" w:hAnsi="Times New Roman"/>
          <w:sz w:val="24"/>
          <w:szCs w:val="24"/>
        </w:rPr>
        <w:t xml:space="preserve">hexane (Hex) </w:t>
      </w:r>
      <w:r>
        <w:rPr>
          <w:rFonts w:ascii="Times New Roman" w:hAnsi="Times New Roman"/>
          <w:sz w:val="24"/>
          <w:szCs w:val="24"/>
        </w:rPr>
        <w:t xml:space="preserve">and were loaded on a </w:t>
      </w:r>
      <w:r w:rsidRPr="001553B0">
        <w:rPr>
          <w:rFonts w:ascii="Times New Roman" w:hAnsi="Times New Roman"/>
          <w:sz w:val="24"/>
          <w:szCs w:val="24"/>
        </w:rPr>
        <w:t>Bond Elut NH</w:t>
      </w:r>
      <w:r w:rsidRPr="001553B0">
        <w:rPr>
          <w:rFonts w:ascii="Times New Roman" w:hAnsi="Times New Roman"/>
          <w:sz w:val="24"/>
          <w:szCs w:val="24"/>
          <w:vertAlign w:val="subscript"/>
        </w:rPr>
        <w:t>2</w:t>
      </w:r>
      <w:r w:rsidRPr="005C085F">
        <w:rPr>
          <w:rFonts w:ascii="Times New Roman" w:hAnsi="Times New Roman"/>
          <w:sz w:val="24"/>
          <w:szCs w:val="24"/>
        </w:rPr>
        <w:t xml:space="preserve"> (6 mg, 1 g) cartridge (Agilent Technologies. Inc., USA), which </w:t>
      </w:r>
      <w:r>
        <w:rPr>
          <w:rFonts w:ascii="Times New Roman" w:hAnsi="Times New Roman"/>
          <w:sz w:val="24"/>
          <w:szCs w:val="24"/>
        </w:rPr>
        <w:t>was</w:t>
      </w:r>
      <w:r w:rsidRPr="005C085F">
        <w:rPr>
          <w:rFonts w:ascii="Times New Roman" w:hAnsi="Times New Roman"/>
          <w:sz w:val="24"/>
          <w:szCs w:val="24"/>
        </w:rPr>
        <w:t xml:space="preserve"> preconditioned with 6 mL of dichloromethane (DCM), 6 mL of Hex/DCM mixture (4:1, v/v), and 6 mL of Hex. </w:t>
      </w:r>
      <w:r w:rsidRPr="001553B0">
        <w:rPr>
          <w:rFonts w:ascii="Times New Roman" w:hAnsi="Times New Roman"/>
          <w:sz w:val="24"/>
          <w:szCs w:val="24"/>
        </w:rPr>
        <w:t xml:space="preserve">After </w:t>
      </w:r>
      <w:r w:rsidRPr="005C085F">
        <w:rPr>
          <w:rFonts w:ascii="Times New Roman" w:hAnsi="Times New Roman"/>
          <w:sz w:val="24"/>
          <w:szCs w:val="24"/>
        </w:rPr>
        <w:t>rinsed</w:t>
      </w:r>
      <w:r w:rsidRPr="001553B0">
        <w:rPr>
          <w:rFonts w:ascii="Times New Roman" w:hAnsi="Times New Roman"/>
          <w:sz w:val="24"/>
          <w:szCs w:val="24"/>
        </w:rPr>
        <w:t xml:space="preserve"> with 3mL of Hex and 3 mL of Hex/DCM mixture (4:1, v/v), the target analytes were eluted with 3 mL of DCM. The extracts were evaporated to dryness </w:t>
      </w:r>
      <w:r w:rsidRPr="005C085F">
        <w:rPr>
          <w:rFonts w:ascii="Times New Roman" w:hAnsi="Times New Roman"/>
          <w:sz w:val="24"/>
          <w:szCs w:val="24"/>
        </w:rPr>
        <w:t>an</w:t>
      </w:r>
      <w:r>
        <w:rPr>
          <w:rFonts w:ascii="Times New Roman" w:hAnsi="Times New Roman"/>
          <w:sz w:val="24"/>
          <w:szCs w:val="24"/>
        </w:rPr>
        <w:t xml:space="preserve">d were </w:t>
      </w:r>
      <w:r w:rsidRPr="005C05CB">
        <w:rPr>
          <w:rFonts w:ascii="Times New Roman" w:hAnsi="Times New Roman"/>
          <w:sz w:val="24"/>
          <w:szCs w:val="24"/>
        </w:rPr>
        <w:t>redissolve</w:t>
      </w:r>
      <w:r>
        <w:rPr>
          <w:rFonts w:ascii="Times New Roman" w:hAnsi="Times New Roman"/>
          <w:sz w:val="24"/>
          <w:szCs w:val="24"/>
        </w:rPr>
        <w:t>d in 100 μL</w:t>
      </w:r>
      <w:r w:rsidRPr="00C92A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of methanol (MeOH) for further analysis. </w:t>
      </w:r>
    </w:p>
    <w:p w:rsidR="00D35CD7" w:rsidRDefault="00D35CD7" w:rsidP="00D675DF">
      <w:pPr>
        <w:spacing w:line="480" w:lineRule="auto"/>
        <w:ind w:firstLine="4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For </w:t>
      </w:r>
      <w:r w:rsidRPr="00C92A60">
        <w:rPr>
          <w:rFonts w:ascii="Times New Roman" w:hAnsi="Times New Roman"/>
          <w:sz w:val="24"/>
          <w:szCs w:val="24"/>
        </w:rPr>
        <w:t>17β-E</w:t>
      </w:r>
      <w:r w:rsidRPr="00C92A60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, T, and PGT,</w:t>
      </w:r>
      <w:r w:rsidRPr="00C92A60">
        <w:rPr>
          <w:rFonts w:ascii="Times New Roman" w:hAnsi="Times New Roman"/>
          <w:sz w:val="24"/>
          <w:szCs w:val="24"/>
        </w:rPr>
        <w:t xml:space="preserve"> 1</w:t>
      </w:r>
      <w:r w:rsidRPr="009346D2">
        <w:rPr>
          <w:rFonts w:ascii="Times New Roman" w:hAnsi="Times New Roman"/>
          <w:sz w:val="24"/>
          <w:szCs w:val="24"/>
        </w:rPr>
        <w:t>7β-E</w:t>
      </w:r>
      <w:r w:rsidRPr="009346D2">
        <w:rPr>
          <w:rFonts w:ascii="Times New Roman" w:hAnsi="Times New Roman"/>
          <w:sz w:val="24"/>
          <w:szCs w:val="24"/>
          <w:vertAlign w:val="subscript"/>
        </w:rPr>
        <w:t>2</w:t>
      </w:r>
      <w:r w:rsidRPr="009346D2">
        <w:rPr>
          <w:rFonts w:ascii="Times New Roman" w:hAnsi="Times New Roman"/>
          <w:sz w:val="24"/>
          <w:szCs w:val="24"/>
        </w:rPr>
        <w:t>–d</w:t>
      </w:r>
      <w:r w:rsidRPr="009346D2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 (1 ng) and progesterone-d</w:t>
      </w:r>
      <w:r w:rsidRPr="00D8095A">
        <w:rPr>
          <w:rFonts w:ascii="Times New Roman" w:hAnsi="Times New Roman"/>
          <w:sz w:val="24"/>
          <w:szCs w:val="24"/>
          <w:vertAlign w:val="subscript"/>
        </w:rPr>
        <w:t>9</w:t>
      </w:r>
      <w:r>
        <w:rPr>
          <w:rFonts w:ascii="Times New Roman" w:hAnsi="Times New Roman"/>
          <w:sz w:val="24"/>
          <w:szCs w:val="24"/>
        </w:rPr>
        <w:t xml:space="preserve"> (1 ng) were added into serum sample (20 μL) from mice on PND 61 as internal standards. After adding 3 mL of methyl tert-butyl ether (MTBE) and 1mL of distilled water, mixture was shaken for 20 min and centrifuged (4,0</w:t>
      </w:r>
      <w:r w:rsidRPr="00C92A60">
        <w:rPr>
          <w:rFonts w:ascii="Times New Roman" w:hAnsi="Times New Roman"/>
          <w:sz w:val="24"/>
          <w:szCs w:val="24"/>
        </w:rPr>
        <w:t xml:space="preserve">00 rpm, </w:t>
      </w:r>
      <w:r>
        <w:rPr>
          <w:rFonts w:ascii="Times New Roman" w:hAnsi="Times New Roman"/>
          <w:sz w:val="24"/>
          <w:szCs w:val="24"/>
        </w:rPr>
        <w:t>10</w:t>
      </w:r>
      <w:r w:rsidRPr="00C92A60">
        <w:rPr>
          <w:rFonts w:ascii="Times New Roman" w:hAnsi="Times New Roman"/>
          <w:sz w:val="24"/>
          <w:szCs w:val="24"/>
        </w:rPr>
        <w:t xml:space="preserve"> min, </w:t>
      </w:r>
      <w:r>
        <w:rPr>
          <w:rFonts w:ascii="Times New Roman" w:hAnsi="Times New Roman"/>
          <w:sz w:val="24"/>
          <w:szCs w:val="24"/>
        </w:rPr>
        <w:t>20 °</w:t>
      </w:r>
      <w:r w:rsidRPr="00C92A60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). The MTBE layer was transferred into a glass tube, and the extraction repeated 3 times. The extracts were combined and evaporated to dryness, and then were redissolved in 1 mL of MTBE, which were equally divided into two parts for further analysis. One part of MTBE was evaporated to dryness and redissolved in 20 μL of MeOH for the detection of T and PGT. The other part of MTBE was evaporated to dryness for dansyl chloride </w:t>
      </w:r>
      <w:r w:rsidRPr="000C3939">
        <w:rPr>
          <w:rFonts w:ascii="Times New Roman" w:hAnsi="Times New Roman"/>
          <w:sz w:val="24"/>
          <w:szCs w:val="24"/>
        </w:rPr>
        <w:t>derivatization</w:t>
      </w:r>
      <w:r>
        <w:rPr>
          <w:rFonts w:ascii="Times New Roman" w:hAnsi="Times New Roman"/>
          <w:sz w:val="24"/>
          <w:szCs w:val="24"/>
        </w:rPr>
        <w:t xml:space="preserve"> to detect </w:t>
      </w:r>
      <w:r w:rsidRPr="00C92A60">
        <w:rPr>
          <w:rFonts w:ascii="Times New Roman" w:hAnsi="Times New Roman"/>
          <w:sz w:val="24"/>
          <w:szCs w:val="24"/>
        </w:rPr>
        <w:t>17β-E</w:t>
      </w:r>
      <w:r w:rsidRPr="00C92A60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.</w:t>
      </w:r>
      <w:r w:rsidRPr="0078545F">
        <w:rPr>
          <w:rFonts w:ascii="Times New Roman" w:hAnsi="Times New Roman"/>
          <w:sz w:val="24"/>
          <w:szCs w:val="24"/>
        </w:rPr>
        <w:t xml:space="preserve"> In brief, the </w:t>
      </w:r>
      <w:r>
        <w:rPr>
          <w:rFonts w:ascii="Times New Roman" w:hAnsi="Times New Roman"/>
          <w:sz w:val="24"/>
          <w:szCs w:val="24"/>
        </w:rPr>
        <w:t>analytes</w:t>
      </w:r>
      <w:r w:rsidRPr="0078545F">
        <w:rPr>
          <w:rFonts w:ascii="Times New Roman" w:hAnsi="Times New Roman"/>
          <w:sz w:val="24"/>
          <w:szCs w:val="24"/>
        </w:rPr>
        <w:t xml:space="preserve"> </w:t>
      </w:r>
      <w:r w:rsidRPr="00F603BE">
        <w:rPr>
          <w:rFonts w:ascii="Times New Roman" w:hAnsi="Times New Roman"/>
          <w:sz w:val="24"/>
          <w:szCs w:val="24"/>
        </w:rPr>
        <w:t xml:space="preserve">were incubated with 100 </w:t>
      </w:r>
      <w:r w:rsidRPr="001553B0">
        <w:rPr>
          <w:rFonts w:ascii="Times New Roman" w:hAnsi="Times New Roman" w:hint="eastAsia"/>
          <w:sz w:val="24"/>
          <w:szCs w:val="24"/>
        </w:rPr>
        <w:t>μ</w:t>
      </w:r>
      <w:r w:rsidRPr="0078545F">
        <w:rPr>
          <w:rFonts w:ascii="Times New Roman" w:hAnsi="Times New Roman"/>
          <w:sz w:val="24"/>
          <w:szCs w:val="24"/>
        </w:rPr>
        <w:t>L dansyl chloride</w:t>
      </w:r>
      <w:r w:rsidRPr="00F603BE">
        <w:rPr>
          <w:rFonts w:ascii="Times New Roman" w:hAnsi="Times New Roman"/>
          <w:sz w:val="24"/>
          <w:szCs w:val="24"/>
        </w:rPr>
        <w:t xml:space="preserve"> (1 mg/mL in acetone) </w:t>
      </w:r>
      <w:r>
        <w:rPr>
          <w:rFonts w:ascii="Times New Roman" w:hAnsi="Times New Roman"/>
          <w:sz w:val="24"/>
          <w:szCs w:val="24"/>
        </w:rPr>
        <w:t>for 10 min at 60 °</w:t>
      </w:r>
      <w:r w:rsidRPr="00C92A60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. After 1 mL of distilled water and 3 mL of Hex were added, the mixture was shaken for 20 min and centrifuged (40</w:t>
      </w:r>
      <w:r w:rsidRPr="00C92A60">
        <w:rPr>
          <w:rFonts w:ascii="Times New Roman" w:hAnsi="Times New Roman"/>
          <w:sz w:val="24"/>
          <w:szCs w:val="24"/>
        </w:rPr>
        <w:t xml:space="preserve">00 rpm, </w:t>
      </w:r>
      <w:r>
        <w:rPr>
          <w:rFonts w:ascii="Times New Roman" w:hAnsi="Times New Roman"/>
          <w:sz w:val="24"/>
          <w:szCs w:val="24"/>
        </w:rPr>
        <w:t>10</w:t>
      </w:r>
      <w:r w:rsidRPr="00C92A60">
        <w:rPr>
          <w:rFonts w:ascii="Times New Roman" w:hAnsi="Times New Roman"/>
          <w:sz w:val="24"/>
          <w:szCs w:val="24"/>
        </w:rPr>
        <w:t xml:space="preserve"> min, </w:t>
      </w:r>
      <w:r>
        <w:rPr>
          <w:rFonts w:ascii="Times New Roman" w:hAnsi="Times New Roman"/>
          <w:sz w:val="24"/>
          <w:szCs w:val="24"/>
        </w:rPr>
        <w:t>20 °</w:t>
      </w:r>
      <w:r w:rsidRPr="00C92A60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). The </w:t>
      </w:r>
      <w:r w:rsidRPr="00867DCC">
        <w:rPr>
          <w:rFonts w:ascii="Times New Roman" w:hAnsi="Times New Roman"/>
          <w:sz w:val="24"/>
          <w:szCs w:val="24"/>
        </w:rPr>
        <w:t>supernatant</w:t>
      </w:r>
      <w:r>
        <w:rPr>
          <w:rFonts w:ascii="Times New Roman" w:hAnsi="Times New Roman"/>
          <w:sz w:val="24"/>
          <w:szCs w:val="24"/>
        </w:rPr>
        <w:t xml:space="preserve"> (Hex) was collected and the extraction repeated </w:t>
      </w:r>
      <w:r w:rsidRPr="00184481">
        <w:rPr>
          <w:rFonts w:ascii="Times New Roman" w:hAnsi="Times New Roman"/>
          <w:sz w:val="24"/>
          <w:szCs w:val="24"/>
        </w:rPr>
        <w:t>3 times</w:t>
      </w:r>
      <w:r>
        <w:rPr>
          <w:rFonts w:ascii="Times New Roman" w:hAnsi="Times New Roman"/>
          <w:sz w:val="24"/>
          <w:szCs w:val="24"/>
        </w:rPr>
        <w:t xml:space="preserve">. The extracts were combined and evaporated to dryness. </w:t>
      </w:r>
    </w:p>
    <w:p w:rsidR="00D35CD7" w:rsidRDefault="00D35CD7" w:rsidP="007E280A">
      <w:pPr>
        <w:spacing w:line="480" w:lineRule="auto"/>
        <w:ind w:firstLine="4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TPhP and sex hormone including </w:t>
      </w:r>
      <w:r w:rsidRPr="00C92A60">
        <w:rPr>
          <w:rFonts w:ascii="Times New Roman" w:hAnsi="Times New Roman"/>
          <w:sz w:val="24"/>
          <w:szCs w:val="24"/>
        </w:rPr>
        <w:t>17β-E</w:t>
      </w:r>
      <w:r w:rsidRPr="00C92A60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, T, PGT were </w:t>
      </w:r>
      <w:r w:rsidRPr="00C92A60">
        <w:rPr>
          <w:rFonts w:ascii="Times New Roman" w:hAnsi="Times New Roman"/>
          <w:sz w:val="24"/>
          <w:szCs w:val="24"/>
        </w:rPr>
        <w:t xml:space="preserve">analyzed </w:t>
      </w:r>
      <w:r>
        <w:rPr>
          <w:rFonts w:ascii="Times New Roman" w:hAnsi="Times New Roman"/>
          <w:sz w:val="24"/>
          <w:szCs w:val="24"/>
        </w:rPr>
        <w:t>using</w:t>
      </w:r>
      <w:r w:rsidRPr="008B6CAE">
        <w:rPr>
          <w:rFonts w:ascii="Times New Roman" w:hAnsi="Times New Roman"/>
          <w:sz w:val="24"/>
          <w:szCs w:val="24"/>
        </w:rPr>
        <w:t xml:space="preserve"> an UltiMate 3000 UPLC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6CAE">
        <w:rPr>
          <w:rFonts w:ascii="Times New Roman" w:hAnsi="Times New Roman"/>
          <w:sz w:val="24"/>
          <w:szCs w:val="24"/>
        </w:rPr>
        <w:t>system coupled with a TSQ Quantiva triple-quadrupole mass spectrometer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6CAE">
        <w:rPr>
          <w:rFonts w:ascii="Times New Roman" w:hAnsi="Times New Roman"/>
          <w:sz w:val="24"/>
          <w:szCs w:val="24"/>
        </w:rPr>
        <w:t>(Thermo Fisher Scientific, San Jose, CA, U.S.A.)</w:t>
      </w:r>
      <w:r>
        <w:rPr>
          <w:rFonts w:ascii="Times New Roman" w:hAnsi="Times New Roman"/>
          <w:sz w:val="24"/>
          <w:szCs w:val="24"/>
        </w:rPr>
        <w:t>, and the details on the instrument analysis could be found our previous article (</w:t>
      </w:r>
      <w:r w:rsidRPr="00C92A60">
        <w:rPr>
          <w:rFonts w:ascii="Times New Roman" w:hAnsi="Times New Roman"/>
          <w:sz w:val="24"/>
          <w:szCs w:val="24"/>
        </w:rPr>
        <w:t xml:space="preserve">Wang </w:t>
      </w:r>
      <w:r>
        <w:rPr>
          <w:rFonts w:ascii="Times New Roman" w:hAnsi="Times New Roman"/>
          <w:sz w:val="24"/>
          <w:szCs w:val="24"/>
        </w:rPr>
        <w:t>et al.,</w:t>
      </w:r>
      <w:r w:rsidRPr="00C92A60">
        <w:rPr>
          <w:rFonts w:ascii="Times New Roman" w:hAnsi="Times New Roman"/>
          <w:sz w:val="24"/>
          <w:szCs w:val="24"/>
        </w:rPr>
        <w:t xml:space="preserve"> 2016</w:t>
      </w:r>
      <w:r>
        <w:rPr>
          <w:rFonts w:ascii="Times New Roman" w:hAnsi="Times New Roman"/>
          <w:sz w:val="24"/>
          <w:szCs w:val="24"/>
        </w:rPr>
        <w:t>;</w:t>
      </w:r>
      <w:r w:rsidRPr="008F6D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Zhao</w:t>
      </w:r>
      <w:r w:rsidRPr="00C92A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et al.,</w:t>
      </w:r>
      <w:r w:rsidRPr="00C92A60">
        <w:rPr>
          <w:rFonts w:ascii="Times New Roman" w:hAnsi="Times New Roman"/>
          <w:sz w:val="24"/>
          <w:szCs w:val="24"/>
        </w:rPr>
        <w:t xml:space="preserve"> 201</w:t>
      </w:r>
      <w:r>
        <w:rPr>
          <w:rFonts w:ascii="Times New Roman" w:hAnsi="Times New Roman"/>
          <w:sz w:val="24"/>
          <w:szCs w:val="24"/>
        </w:rPr>
        <w:t>7).</w:t>
      </w:r>
    </w:p>
    <w:p w:rsidR="00D35CD7" w:rsidRDefault="00D35CD7" w:rsidP="005D7A86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D35CD7" w:rsidRDefault="00D35CD7" w:rsidP="005D7A86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D35CD7" w:rsidRDefault="00D35CD7" w:rsidP="005D7A86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 w:rsidRPr="00091D95">
        <w:rPr>
          <w:rFonts w:ascii="Times New Roman" w:hAnsi="Times New Roman"/>
          <w:b/>
          <w:sz w:val="24"/>
          <w:szCs w:val="24"/>
        </w:rPr>
        <w:t>Table S</w:t>
      </w:r>
      <w:r>
        <w:rPr>
          <w:rFonts w:ascii="Times New Roman" w:hAnsi="Times New Roman"/>
          <w:b/>
          <w:sz w:val="24"/>
          <w:szCs w:val="24"/>
        </w:rPr>
        <w:t>2.</w:t>
      </w:r>
      <w:r w:rsidRPr="00091D95">
        <w:rPr>
          <w:rFonts w:ascii="Times New Roman" w:hAnsi="Times New Roman"/>
          <w:b/>
          <w:sz w:val="24"/>
          <w:szCs w:val="24"/>
        </w:rPr>
        <w:t xml:space="preserve"> </w:t>
      </w:r>
      <w:r w:rsidRPr="00665349">
        <w:rPr>
          <w:rFonts w:ascii="Times New Roman" w:hAnsi="Times New Roman"/>
          <w:bCs/>
          <w:sz w:val="24"/>
          <w:szCs w:val="24"/>
        </w:rPr>
        <w:t xml:space="preserve">Primers </w:t>
      </w:r>
      <w:r>
        <w:rPr>
          <w:rFonts w:ascii="Times New Roman" w:hAnsi="Times New Roman"/>
          <w:bCs/>
          <w:sz w:val="24"/>
          <w:szCs w:val="24"/>
        </w:rPr>
        <w:t>u</w:t>
      </w:r>
      <w:r w:rsidRPr="00665349">
        <w:rPr>
          <w:rFonts w:ascii="Times New Roman" w:hAnsi="Times New Roman"/>
          <w:bCs/>
          <w:sz w:val="24"/>
          <w:szCs w:val="24"/>
        </w:rPr>
        <w:t xml:space="preserve">sed for RT-PCR </w:t>
      </w:r>
      <w:r>
        <w:rPr>
          <w:rFonts w:ascii="Times New Roman" w:hAnsi="Times New Roman"/>
          <w:bCs/>
          <w:sz w:val="24"/>
          <w:szCs w:val="24"/>
        </w:rPr>
        <w:t>a</w:t>
      </w:r>
      <w:r w:rsidRPr="00665349">
        <w:rPr>
          <w:rFonts w:ascii="Times New Roman" w:hAnsi="Times New Roman"/>
          <w:bCs/>
          <w:sz w:val="24"/>
          <w:szCs w:val="24"/>
        </w:rPr>
        <w:t>nalysis</w:t>
      </w:r>
    </w:p>
    <w:tbl>
      <w:tblPr>
        <w:tblW w:w="0" w:type="auto"/>
        <w:tblInd w:w="15" w:type="dxa"/>
        <w:tblLook w:val="00A0"/>
      </w:tblPr>
      <w:tblGrid>
        <w:gridCol w:w="1021"/>
        <w:gridCol w:w="3534"/>
        <w:gridCol w:w="3731"/>
      </w:tblGrid>
      <w:tr w:rsidR="00D35CD7" w:rsidRPr="00620F8B" w:rsidTr="00620F8B">
        <w:tc>
          <w:tcPr>
            <w:tcW w:w="1021" w:type="dxa"/>
            <w:vMerge w:val="restart"/>
            <w:tcBorders>
              <w:top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bCs/>
                <w:sz w:val="22"/>
              </w:rPr>
              <w:t>Target</w:t>
            </w:r>
          </w:p>
          <w:p w:rsidR="00D35CD7" w:rsidRPr="00620F8B" w:rsidRDefault="00D35CD7" w:rsidP="00620F8B">
            <w:pPr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bCs/>
                <w:sz w:val="22"/>
              </w:rPr>
              <w:t>Gene</w:t>
            </w:r>
          </w:p>
        </w:tc>
        <w:tc>
          <w:tcPr>
            <w:tcW w:w="3534" w:type="dxa"/>
            <w:tcBorders>
              <w:top w:val="single" w:sz="4" w:space="0" w:color="auto"/>
              <w:bottom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bCs/>
                <w:sz w:val="22"/>
              </w:rPr>
              <w:t>Primer sequence (5’-3’)</w:t>
            </w:r>
          </w:p>
        </w:tc>
        <w:tc>
          <w:tcPr>
            <w:tcW w:w="3731" w:type="dxa"/>
            <w:tcBorders>
              <w:top w:val="single" w:sz="4" w:space="0" w:color="auto"/>
              <w:bottom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</w:p>
        </w:tc>
      </w:tr>
      <w:tr w:rsidR="00D35CD7" w:rsidRPr="00620F8B" w:rsidTr="00620F8B">
        <w:tc>
          <w:tcPr>
            <w:tcW w:w="1021" w:type="dxa"/>
            <w:vMerge/>
            <w:tcBorders>
              <w:bottom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3534" w:type="dxa"/>
            <w:tcBorders>
              <w:bottom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bCs/>
                <w:sz w:val="22"/>
              </w:rPr>
              <w:t>Forward</w:t>
            </w:r>
          </w:p>
        </w:tc>
        <w:tc>
          <w:tcPr>
            <w:tcW w:w="3731" w:type="dxa"/>
            <w:tcBorders>
              <w:bottom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bCs/>
                <w:sz w:val="22"/>
              </w:rPr>
              <w:t>Reverse</w:t>
            </w:r>
          </w:p>
        </w:tc>
      </w:tr>
      <w:tr w:rsidR="00D35CD7" w:rsidRPr="00620F8B" w:rsidTr="00620F8B">
        <w:tc>
          <w:tcPr>
            <w:tcW w:w="1021" w:type="dxa"/>
            <w:tcBorders>
              <w:top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i/>
                <w:iCs/>
                <w:sz w:val="22"/>
              </w:rPr>
            </w:pPr>
            <w:r w:rsidRPr="00620F8B">
              <w:rPr>
                <w:rFonts w:ascii="Times New Roman" w:hAnsi="Times New Roman"/>
                <w:i/>
                <w:iCs/>
                <w:sz w:val="22"/>
              </w:rPr>
              <w:t>β-Actin</w:t>
            </w:r>
          </w:p>
        </w:tc>
        <w:tc>
          <w:tcPr>
            <w:tcW w:w="3534" w:type="dxa"/>
            <w:tcBorders>
              <w:top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color w:val="000000"/>
                <w:sz w:val="22"/>
              </w:rPr>
              <w:t>GTGACGTTGACATCCGTAAAGA</w:t>
            </w:r>
          </w:p>
        </w:tc>
        <w:tc>
          <w:tcPr>
            <w:tcW w:w="3731" w:type="dxa"/>
            <w:tcBorders>
              <w:top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color w:val="000000"/>
                <w:sz w:val="22"/>
              </w:rPr>
              <w:t>GCCGGACTCATCGTACTCC</w:t>
            </w:r>
          </w:p>
        </w:tc>
      </w:tr>
      <w:tr w:rsidR="00D35CD7" w:rsidRPr="00620F8B" w:rsidTr="00620F8B">
        <w:tc>
          <w:tcPr>
            <w:tcW w:w="1021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i/>
                <w:iCs/>
                <w:sz w:val="22"/>
              </w:rPr>
            </w:pPr>
            <w:r w:rsidRPr="00620F8B">
              <w:rPr>
                <w:rFonts w:ascii="Times New Roman" w:hAnsi="Times New Roman"/>
                <w:i/>
                <w:iCs/>
                <w:sz w:val="22"/>
              </w:rPr>
              <w:t>P450scc</w:t>
            </w:r>
          </w:p>
        </w:tc>
        <w:tc>
          <w:tcPr>
            <w:tcW w:w="3534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sz w:val="22"/>
              </w:rPr>
              <w:t>AGGTGTAGCTCAGGACTTCA</w:t>
            </w:r>
          </w:p>
        </w:tc>
        <w:tc>
          <w:tcPr>
            <w:tcW w:w="3731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sz w:val="22"/>
              </w:rPr>
              <w:t>AGGAGGCTATAAAGGACACC</w:t>
            </w:r>
          </w:p>
        </w:tc>
      </w:tr>
      <w:tr w:rsidR="00D35CD7" w:rsidRPr="00620F8B" w:rsidTr="00620F8B">
        <w:tc>
          <w:tcPr>
            <w:tcW w:w="1021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i/>
                <w:iCs/>
                <w:sz w:val="22"/>
              </w:rPr>
            </w:pPr>
            <w:r w:rsidRPr="00620F8B">
              <w:rPr>
                <w:rFonts w:ascii="Times New Roman" w:hAnsi="Times New Roman"/>
                <w:i/>
                <w:iCs/>
                <w:sz w:val="22"/>
              </w:rPr>
              <w:t>17βHSD</w:t>
            </w:r>
          </w:p>
        </w:tc>
        <w:tc>
          <w:tcPr>
            <w:tcW w:w="3534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color w:val="000000"/>
                <w:sz w:val="22"/>
              </w:rPr>
              <w:t>ATTTTACCAGAGAAGACATCT</w:t>
            </w:r>
          </w:p>
        </w:tc>
        <w:tc>
          <w:tcPr>
            <w:tcW w:w="3731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color w:val="000000"/>
                <w:sz w:val="22"/>
              </w:rPr>
              <w:t>GGGGTCAGCACCTGAATAATG</w:t>
            </w:r>
          </w:p>
        </w:tc>
      </w:tr>
      <w:tr w:rsidR="00D35CD7" w:rsidRPr="00620F8B" w:rsidTr="00620F8B">
        <w:tc>
          <w:tcPr>
            <w:tcW w:w="1021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i/>
                <w:iCs/>
                <w:sz w:val="22"/>
              </w:rPr>
            </w:pPr>
            <w:r w:rsidRPr="00620F8B">
              <w:rPr>
                <w:rFonts w:ascii="Times New Roman" w:hAnsi="Times New Roman"/>
                <w:i/>
                <w:iCs/>
                <w:sz w:val="22"/>
              </w:rPr>
              <w:t>StAR</w:t>
            </w:r>
          </w:p>
        </w:tc>
        <w:tc>
          <w:tcPr>
            <w:tcW w:w="3534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sz w:val="22"/>
              </w:rPr>
              <w:t>TGTCAAGGAGATCAAGGTCCTG</w:t>
            </w:r>
          </w:p>
        </w:tc>
        <w:tc>
          <w:tcPr>
            <w:tcW w:w="3731" w:type="dxa"/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sz w:val="22"/>
              </w:rPr>
              <w:t>CGATAGGACCTGGTTGATGAT</w:t>
            </w:r>
          </w:p>
        </w:tc>
      </w:tr>
      <w:tr w:rsidR="00D35CD7" w:rsidRPr="00620F8B" w:rsidTr="00620F8B">
        <w:tc>
          <w:tcPr>
            <w:tcW w:w="1021" w:type="dxa"/>
            <w:tcBorders>
              <w:bottom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i/>
                <w:iCs/>
                <w:sz w:val="22"/>
              </w:rPr>
            </w:pPr>
            <w:r w:rsidRPr="00620F8B">
              <w:rPr>
                <w:rFonts w:ascii="Times New Roman" w:hAnsi="Times New Roman"/>
                <w:i/>
                <w:iCs/>
                <w:sz w:val="22"/>
              </w:rPr>
              <w:t>Cyp19a1</w:t>
            </w:r>
          </w:p>
        </w:tc>
        <w:tc>
          <w:tcPr>
            <w:tcW w:w="3534" w:type="dxa"/>
            <w:tcBorders>
              <w:bottom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sz w:val="22"/>
              </w:rPr>
              <w:t>GCCCAATGAATTTACCCTCGAA</w:t>
            </w:r>
          </w:p>
        </w:tc>
        <w:tc>
          <w:tcPr>
            <w:tcW w:w="3731" w:type="dxa"/>
            <w:tcBorders>
              <w:bottom w:val="single" w:sz="4" w:space="0" w:color="auto"/>
            </w:tcBorders>
          </w:tcPr>
          <w:p w:rsidR="00D35CD7" w:rsidRPr="00620F8B" w:rsidRDefault="00D35CD7" w:rsidP="00620F8B">
            <w:pPr>
              <w:widowControl/>
              <w:jc w:val="left"/>
              <w:rPr>
                <w:rFonts w:ascii="Times New Roman" w:hAnsi="Times New Roman"/>
                <w:bCs/>
                <w:sz w:val="22"/>
              </w:rPr>
            </w:pPr>
            <w:r w:rsidRPr="00620F8B">
              <w:rPr>
                <w:rFonts w:ascii="Times New Roman" w:hAnsi="Times New Roman"/>
                <w:sz w:val="22"/>
              </w:rPr>
              <w:t>AAGCCAAAAGGCTGAAAGTACCT</w:t>
            </w:r>
          </w:p>
        </w:tc>
      </w:tr>
    </w:tbl>
    <w:p w:rsidR="00D35CD7" w:rsidRDefault="00D35CD7" w:rsidP="005D7A86">
      <w:pPr>
        <w:rPr>
          <w:rFonts w:ascii="Times New Roman" w:hAnsi="Times New Roman"/>
          <w:kern w:val="0"/>
          <w:sz w:val="24"/>
          <w:szCs w:val="24"/>
        </w:rPr>
      </w:pPr>
    </w:p>
    <w:p w:rsidR="00D35CD7" w:rsidRDefault="00D35CD7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:rsidR="00D35CD7" w:rsidRDefault="00D35CD7" w:rsidP="00B40F34">
      <w:pPr>
        <w:spacing w:line="480" w:lineRule="auto"/>
        <w:ind w:firstLine="420"/>
        <w:rPr>
          <w:rFonts w:ascii="Times New Roman" w:hAnsi="Times New Roman"/>
          <w:kern w:val="0"/>
          <w:sz w:val="24"/>
          <w:szCs w:val="24"/>
        </w:rPr>
      </w:pPr>
    </w:p>
    <w:p w:rsidR="00D35CD7" w:rsidRPr="00B94A78" w:rsidRDefault="00D35CD7" w:rsidP="00B40F34">
      <w:pPr>
        <w:widowControl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 xml:space="preserve">References for Supplementary Materials </w:t>
      </w:r>
    </w:p>
    <w:p w:rsidR="00D35CD7" w:rsidRDefault="00D35CD7" w:rsidP="00D675DF">
      <w:pPr>
        <w:ind w:left="480" w:hangingChars="200" w:hanging="480"/>
        <w:rPr>
          <w:rFonts w:ascii="Times New Roman" w:eastAsia="宋体" w:hAnsi="Times New Roman"/>
          <w:sz w:val="24"/>
          <w:szCs w:val="24"/>
        </w:rPr>
      </w:pPr>
      <w:r w:rsidRPr="006D21DA">
        <w:rPr>
          <w:rFonts w:ascii="Times New Roman" w:eastAsia="宋体" w:hAnsi="Times New Roman"/>
          <w:sz w:val="24"/>
          <w:szCs w:val="24"/>
        </w:rPr>
        <w:t>Li, Y., Chen, R.C., He, J.W., Ma, H.J., Zhao, F.R., Tao, S., et al., 2019. Triphenyl phosphate at environmental levels retarded ovary development and reduced egg production in Japanese medaka (</w:t>
      </w:r>
      <w:r w:rsidRPr="006A2C12">
        <w:rPr>
          <w:rFonts w:ascii="Times New Roman" w:eastAsia="宋体" w:hAnsi="Times New Roman"/>
          <w:i/>
          <w:sz w:val="24"/>
          <w:szCs w:val="24"/>
        </w:rPr>
        <w:t>Oryzias latipes</w:t>
      </w:r>
      <w:r w:rsidRPr="006D21DA">
        <w:rPr>
          <w:rFonts w:ascii="Times New Roman" w:eastAsia="宋体" w:hAnsi="Times New Roman"/>
          <w:sz w:val="24"/>
          <w:szCs w:val="24"/>
        </w:rPr>
        <w:t>). Environ. Sci.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 w:rsidRPr="006D21DA">
        <w:rPr>
          <w:rFonts w:ascii="Times New Roman" w:eastAsia="宋体" w:hAnsi="Times New Roman"/>
          <w:sz w:val="24"/>
          <w:szCs w:val="24"/>
        </w:rPr>
        <w:t>Technol. 53, 14709-14715.</w:t>
      </w:r>
    </w:p>
    <w:p w:rsidR="00D35CD7" w:rsidRDefault="00D35CD7" w:rsidP="00B40F34">
      <w:pPr>
        <w:ind w:left="480" w:hangingChars="200" w:hanging="480"/>
        <w:rPr>
          <w:rFonts w:ascii="Times New Roman" w:eastAsia="宋体" w:hAnsi="Times New Roman"/>
          <w:sz w:val="24"/>
          <w:szCs w:val="24"/>
        </w:rPr>
      </w:pPr>
      <w:r w:rsidRPr="006D21DA">
        <w:rPr>
          <w:rFonts w:ascii="Times New Roman" w:eastAsia="宋体" w:hAnsi="Times New Roman"/>
          <w:sz w:val="24"/>
          <w:szCs w:val="24"/>
        </w:rPr>
        <w:t>Wang, C., Zhang, S.Y., Zhou, Y.Y., Huang, C., Mu, D., Giesy, J.P., et al., 2016</w:t>
      </w:r>
      <w:r>
        <w:rPr>
          <w:rFonts w:ascii="Times New Roman" w:eastAsia="宋体" w:hAnsi="Times New Roman"/>
          <w:sz w:val="24"/>
          <w:szCs w:val="24"/>
        </w:rPr>
        <w:t>b</w:t>
      </w:r>
      <w:r w:rsidRPr="006D21DA">
        <w:rPr>
          <w:rFonts w:ascii="Times New Roman" w:eastAsia="宋体" w:hAnsi="Times New Roman"/>
          <w:sz w:val="24"/>
          <w:szCs w:val="24"/>
        </w:rPr>
        <w:t>. Equol induces gonadal intersex in Japanese medaka (Oryzias latipes) at environmentally relevant concentrations: comparison with 17beta-estradiol. Environ. Sci. Technol. 50, 7852-7860.</w:t>
      </w:r>
    </w:p>
    <w:p w:rsidR="00D35CD7" w:rsidRPr="007F2A96" w:rsidRDefault="00D35CD7" w:rsidP="007F2A96">
      <w:pPr>
        <w:rPr>
          <w:rFonts w:ascii="Times New Roman" w:hAnsi="Times New Roman"/>
          <w:kern w:val="0"/>
          <w:sz w:val="24"/>
          <w:szCs w:val="24"/>
        </w:rPr>
      </w:pPr>
    </w:p>
    <w:sectPr w:rsidR="00D35CD7" w:rsidRPr="007F2A96" w:rsidSect="00182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CD7" w:rsidRDefault="00D35CD7" w:rsidP="007B7F38">
      <w:r>
        <w:separator/>
      </w:r>
    </w:p>
  </w:endnote>
  <w:endnote w:type="continuationSeparator" w:id="0">
    <w:p w:rsidR="00D35CD7" w:rsidRDefault="00D35CD7" w:rsidP="007B7F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CD7" w:rsidRDefault="00D35CD7" w:rsidP="007B7F38">
      <w:r>
        <w:separator/>
      </w:r>
    </w:p>
  </w:footnote>
  <w:footnote w:type="continuationSeparator" w:id="0">
    <w:p w:rsidR="00D35CD7" w:rsidRDefault="00D35CD7" w:rsidP="007B7F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1BAB"/>
    <w:rsid w:val="00076954"/>
    <w:rsid w:val="00085086"/>
    <w:rsid w:val="00091D95"/>
    <w:rsid w:val="000C3939"/>
    <w:rsid w:val="00103905"/>
    <w:rsid w:val="00111BAB"/>
    <w:rsid w:val="00117A98"/>
    <w:rsid w:val="001311E8"/>
    <w:rsid w:val="00134189"/>
    <w:rsid w:val="001553B0"/>
    <w:rsid w:val="00182F06"/>
    <w:rsid w:val="00184481"/>
    <w:rsid w:val="001A4B6A"/>
    <w:rsid w:val="001B1E7D"/>
    <w:rsid w:val="001B2F22"/>
    <w:rsid w:val="001D53F8"/>
    <w:rsid w:val="00215B74"/>
    <w:rsid w:val="0023602F"/>
    <w:rsid w:val="002732D0"/>
    <w:rsid w:val="0042222E"/>
    <w:rsid w:val="00443C6F"/>
    <w:rsid w:val="0047495C"/>
    <w:rsid w:val="004F1250"/>
    <w:rsid w:val="00501084"/>
    <w:rsid w:val="005C05CB"/>
    <w:rsid w:val="005C085F"/>
    <w:rsid w:val="005C19A5"/>
    <w:rsid w:val="005D7A86"/>
    <w:rsid w:val="00603FDD"/>
    <w:rsid w:val="00620F8B"/>
    <w:rsid w:val="00665349"/>
    <w:rsid w:val="006A2C12"/>
    <w:rsid w:val="006A5989"/>
    <w:rsid w:val="006D21DA"/>
    <w:rsid w:val="00721AAB"/>
    <w:rsid w:val="0078545F"/>
    <w:rsid w:val="007B040E"/>
    <w:rsid w:val="007B7F38"/>
    <w:rsid w:val="007E280A"/>
    <w:rsid w:val="007F2A96"/>
    <w:rsid w:val="00847D0B"/>
    <w:rsid w:val="00867DCC"/>
    <w:rsid w:val="008B6CAE"/>
    <w:rsid w:val="008C5658"/>
    <w:rsid w:val="008F2B82"/>
    <w:rsid w:val="008F6DCD"/>
    <w:rsid w:val="00905974"/>
    <w:rsid w:val="009346D2"/>
    <w:rsid w:val="00950FA6"/>
    <w:rsid w:val="00A13A39"/>
    <w:rsid w:val="00A268EB"/>
    <w:rsid w:val="00B15503"/>
    <w:rsid w:val="00B40F34"/>
    <w:rsid w:val="00B845D5"/>
    <w:rsid w:val="00B94A78"/>
    <w:rsid w:val="00BE4799"/>
    <w:rsid w:val="00C92A60"/>
    <w:rsid w:val="00CD2051"/>
    <w:rsid w:val="00D00739"/>
    <w:rsid w:val="00D35CD7"/>
    <w:rsid w:val="00D36527"/>
    <w:rsid w:val="00D675DF"/>
    <w:rsid w:val="00D8095A"/>
    <w:rsid w:val="00D92BE4"/>
    <w:rsid w:val="00DB5FB8"/>
    <w:rsid w:val="00DF4800"/>
    <w:rsid w:val="00DF79AC"/>
    <w:rsid w:val="00E01CFC"/>
    <w:rsid w:val="00E21D03"/>
    <w:rsid w:val="00E33681"/>
    <w:rsid w:val="00E53E72"/>
    <w:rsid w:val="00F24AF7"/>
    <w:rsid w:val="00F52EF5"/>
    <w:rsid w:val="00F603BE"/>
    <w:rsid w:val="00F61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F3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B7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B7F3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B7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B7F38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B7F3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B7F38"/>
    <w:rPr>
      <w:rFonts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47495C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47495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7495C"/>
    <w:rPr>
      <w:rFonts w:cs="Times New Roman"/>
    </w:rPr>
  </w:style>
  <w:style w:type="table" w:styleId="TableGrid">
    <w:name w:val="Table Grid"/>
    <w:basedOn w:val="TableNormal"/>
    <w:uiPriority w:val="99"/>
    <w:rsid w:val="0047495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ujy@urban.pk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6</Pages>
  <Words>813</Words>
  <Characters>4638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Triphenyl Phosphate Delayed Puberty Timing and Induced Decline of Ovarian Reserve in Mice as an Estrogen Receptor Antagonist</dc:title>
  <dc:subject/>
  <dc:creator>297242890@qq.com</dc:creator>
  <cp:keywords/>
  <dc:description/>
  <cp:lastModifiedBy>微软用户</cp:lastModifiedBy>
  <cp:revision>2</cp:revision>
  <dcterms:created xsi:type="dcterms:W3CDTF">2021-12-01T03:18:00Z</dcterms:created>
  <dcterms:modified xsi:type="dcterms:W3CDTF">2021-12-01T03:18:00Z</dcterms:modified>
</cp:coreProperties>
</file>