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6BC9" w:rsidRPr="00620B08" w:rsidRDefault="00A06BC9" w:rsidP="00B123A3">
      <w:pPr>
        <w:spacing w:line="480" w:lineRule="auto"/>
        <w:jc w:val="center"/>
        <w:rPr>
          <w:rFonts w:ascii="Times New Roman" w:hAnsi="Times New Roman"/>
          <w:b/>
          <w:color w:val="000000"/>
          <w:sz w:val="22"/>
        </w:rPr>
      </w:pPr>
      <w:r w:rsidRPr="00620B08">
        <w:rPr>
          <w:rFonts w:ascii="Times New Roman" w:hAnsi="Times New Roman"/>
          <w:b/>
          <w:color w:val="000000"/>
          <w:sz w:val="22"/>
        </w:rPr>
        <w:t>Supplemental information</w:t>
      </w:r>
    </w:p>
    <w:p w:rsidR="00A06BC9" w:rsidRPr="00620B08" w:rsidRDefault="00A06BC9" w:rsidP="00B123A3">
      <w:pPr>
        <w:spacing w:line="480" w:lineRule="auto"/>
        <w:jc w:val="center"/>
        <w:rPr>
          <w:rFonts w:ascii="Times New Roman" w:hAnsi="Times New Roman"/>
          <w:b/>
          <w:color w:val="000000"/>
          <w:sz w:val="22"/>
        </w:rPr>
      </w:pPr>
    </w:p>
    <w:p w:rsidR="00A06BC9" w:rsidRPr="00620B08" w:rsidRDefault="00A06BC9" w:rsidP="00B123A3">
      <w:pPr>
        <w:spacing w:line="480" w:lineRule="auto"/>
        <w:rPr>
          <w:rFonts w:ascii="Times New Roman" w:hAnsi="Times New Roman"/>
          <w:color w:val="000000"/>
          <w:sz w:val="22"/>
        </w:rPr>
      </w:pPr>
    </w:p>
    <w:p w:rsidR="00A06BC9" w:rsidRPr="00620B08" w:rsidRDefault="00A06BC9" w:rsidP="00B123A3">
      <w:pPr>
        <w:spacing w:line="480" w:lineRule="auto"/>
        <w:rPr>
          <w:rFonts w:ascii="Times New Roman" w:eastAsia="MS Mincho" w:hAnsi="Times New Roman"/>
          <w:b/>
          <w:bCs/>
          <w:color w:val="000000"/>
          <w:sz w:val="22"/>
        </w:rPr>
      </w:pPr>
      <w:r w:rsidRPr="00620B08">
        <w:rPr>
          <w:rFonts w:ascii="Times New Roman" w:eastAsia="MS Mincho" w:hAnsi="Times New Roman"/>
          <w:b/>
          <w:bCs/>
          <w:i/>
          <w:color w:val="000000"/>
          <w:sz w:val="22"/>
        </w:rPr>
        <w:t>In vivo</w:t>
      </w:r>
      <w:r w:rsidRPr="00620B08">
        <w:rPr>
          <w:rFonts w:ascii="Times New Roman" w:eastAsia="MS Mincho" w:hAnsi="Times New Roman"/>
          <w:b/>
          <w:bCs/>
          <w:color w:val="000000"/>
          <w:sz w:val="22"/>
        </w:rPr>
        <w:t xml:space="preserve"> profiling of 2,3,7,8-tetrachrolodibenzo-</w:t>
      </w:r>
      <w:r w:rsidRPr="00620B08">
        <w:rPr>
          <w:rFonts w:ascii="Times New Roman" w:eastAsia="MS Mincho" w:hAnsi="Times New Roman"/>
          <w:b/>
          <w:bCs/>
          <w:i/>
          <w:color w:val="000000"/>
          <w:sz w:val="22"/>
        </w:rPr>
        <w:t>p</w:t>
      </w:r>
      <w:r w:rsidRPr="00620B08">
        <w:rPr>
          <w:rFonts w:ascii="Times New Roman" w:eastAsia="MS Mincho" w:hAnsi="Times New Roman"/>
          <w:b/>
          <w:bCs/>
          <w:color w:val="000000"/>
          <w:sz w:val="22"/>
        </w:rPr>
        <w:t>-dioxin–induced estrogenic/anti-estrogenic effects in female estrogen-responsive reporter transgenic mice</w:t>
      </w:r>
    </w:p>
    <w:p w:rsidR="00A06BC9" w:rsidRPr="00620B08" w:rsidRDefault="00A06BC9" w:rsidP="00B123A3">
      <w:pPr>
        <w:spacing w:line="480" w:lineRule="auto"/>
        <w:rPr>
          <w:rFonts w:ascii="Times New Roman" w:eastAsia="MS Mincho" w:hAnsi="Times New Roman"/>
          <w:b/>
          <w:bCs/>
          <w:color w:val="000000"/>
          <w:sz w:val="22"/>
        </w:rPr>
      </w:pPr>
    </w:p>
    <w:p w:rsidR="00A06BC9" w:rsidRPr="00620B08" w:rsidRDefault="00A06BC9" w:rsidP="00B123A3">
      <w:pPr>
        <w:spacing w:line="480" w:lineRule="auto"/>
        <w:rPr>
          <w:rFonts w:ascii="Times New Roman" w:eastAsia="MS Mincho" w:hAnsi="Times New Roman"/>
          <w:color w:val="000000"/>
          <w:sz w:val="22"/>
        </w:rPr>
      </w:pPr>
      <w:bookmarkStart w:id="0" w:name="_Hlk13502498"/>
      <w:r w:rsidRPr="00620B08">
        <w:rPr>
          <w:rFonts w:ascii="Times New Roman" w:eastAsia="MS Mincho" w:hAnsi="Times New Roman"/>
          <w:color w:val="000000"/>
          <w:sz w:val="22"/>
        </w:rPr>
        <w:t>Ichiro Yoshida</w:t>
      </w:r>
      <w:r w:rsidRPr="00620B08">
        <w:rPr>
          <w:rFonts w:ascii="Times New Roman" w:eastAsia="MS Mincho" w:hAnsi="Times New Roman"/>
          <w:color w:val="000000"/>
          <w:sz w:val="22"/>
          <w:vertAlign w:val="superscript"/>
        </w:rPr>
        <w:t>1,†,a</w:t>
      </w:r>
      <w:r w:rsidRPr="00620B08">
        <w:rPr>
          <w:rFonts w:ascii="Times New Roman" w:eastAsia="MS Mincho" w:hAnsi="Times New Roman"/>
          <w:color w:val="000000"/>
          <w:sz w:val="22"/>
        </w:rPr>
        <w:t>, Keishi Ishida</w:t>
      </w:r>
      <w:r w:rsidRPr="00620B08">
        <w:rPr>
          <w:rFonts w:ascii="Times New Roman" w:eastAsia="MS Mincho" w:hAnsi="Times New Roman"/>
          <w:color w:val="000000"/>
          <w:sz w:val="22"/>
          <w:vertAlign w:val="superscript"/>
        </w:rPr>
        <w:t>1,2,a</w:t>
      </w:r>
      <w:r w:rsidRPr="00620B08">
        <w:rPr>
          <w:rFonts w:ascii="Times New Roman" w:eastAsia="MS Mincho" w:hAnsi="Times New Roman"/>
          <w:color w:val="000000"/>
          <w:sz w:val="22"/>
        </w:rPr>
        <w:t>, Hiroshi Yoshikawa</w:t>
      </w:r>
      <w:r w:rsidRPr="00620B08">
        <w:rPr>
          <w:rFonts w:ascii="Times New Roman" w:eastAsia="MS Mincho" w:hAnsi="Times New Roman"/>
          <w:color w:val="000000"/>
          <w:sz w:val="22"/>
          <w:vertAlign w:val="superscript"/>
        </w:rPr>
        <w:t>1</w:t>
      </w:r>
      <w:r w:rsidRPr="00620B08">
        <w:rPr>
          <w:rFonts w:ascii="Times New Roman" w:eastAsia="MS Mincho" w:hAnsi="Times New Roman"/>
          <w:color w:val="000000"/>
          <w:sz w:val="22"/>
        </w:rPr>
        <w:t>, Sho Kitamura</w:t>
      </w:r>
      <w:r w:rsidRPr="00620B08">
        <w:rPr>
          <w:rFonts w:ascii="Times New Roman" w:eastAsia="MS Mincho" w:hAnsi="Times New Roman"/>
          <w:color w:val="000000"/>
          <w:sz w:val="22"/>
          <w:vertAlign w:val="superscript"/>
        </w:rPr>
        <w:t>1</w:t>
      </w:r>
      <w:r w:rsidRPr="00620B08">
        <w:rPr>
          <w:rFonts w:ascii="Times New Roman" w:eastAsia="MS Mincho" w:hAnsi="Times New Roman"/>
          <w:color w:val="000000"/>
          <w:sz w:val="22"/>
        </w:rPr>
        <w:t>, Youhei Hiromori</w:t>
      </w:r>
      <w:r w:rsidRPr="00620B08">
        <w:rPr>
          <w:rFonts w:ascii="Times New Roman" w:eastAsia="MS Mincho" w:hAnsi="Times New Roman"/>
          <w:color w:val="000000"/>
          <w:sz w:val="22"/>
          <w:vertAlign w:val="superscript"/>
        </w:rPr>
        <w:t>1,3</w:t>
      </w:r>
      <w:r w:rsidRPr="00620B08">
        <w:rPr>
          <w:rFonts w:ascii="Times New Roman" w:eastAsia="MS Mincho" w:hAnsi="Times New Roman"/>
          <w:color w:val="000000"/>
          <w:sz w:val="22"/>
        </w:rPr>
        <w:t>, Yasushi Nishioka</w:t>
      </w:r>
      <w:r w:rsidRPr="00620B08">
        <w:rPr>
          <w:rFonts w:ascii="Times New Roman" w:eastAsia="MS Mincho" w:hAnsi="Times New Roman"/>
          <w:color w:val="000000"/>
          <w:sz w:val="22"/>
          <w:vertAlign w:val="superscript"/>
        </w:rPr>
        <w:t>1</w:t>
      </w:r>
      <w:r w:rsidRPr="00620B08">
        <w:rPr>
          <w:rFonts w:ascii="Times New Roman" w:eastAsia="MS Mincho" w:hAnsi="Times New Roman"/>
          <w:color w:val="000000"/>
          <w:sz w:val="22"/>
        </w:rPr>
        <w:t>, Akiko Ido</w:t>
      </w:r>
      <w:r w:rsidRPr="00620B08">
        <w:rPr>
          <w:rFonts w:ascii="Times New Roman" w:eastAsia="MS Mincho" w:hAnsi="Times New Roman"/>
          <w:color w:val="000000"/>
          <w:sz w:val="22"/>
          <w:vertAlign w:val="superscript"/>
        </w:rPr>
        <w:t>1</w:t>
      </w:r>
      <w:r w:rsidRPr="00620B08">
        <w:rPr>
          <w:rFonts w:ascii="Times New Roman" w:eastAsia="MS Mincho" w:hAnsi="Times New Roman"/>
          <w:color w:val="000000"/>
          <w:sz w:val="22"/>
        </w:rPr>
        <w:t>, Tomoki Kimura</w:t>
      </w:r>
      <w:r w:rsidRPr="00620B08">
        <w:rPr>
          <w:rFonts w:ascii="Times New Roman" w:eastAsia="MS Mincho" w:hAnsi="Times New Roman"/>
          <w:color w:val="000000"/>
          <w:sz w:val="22"/>
          <w:vertAlign w:val="superscript"/>
        </w:rPr>
        <w:t>4</w:t>
      </w:r>
      <w:r w:rsidRPr="00620B08">
        <w:rPr>
          <w:rFonts w:ascii="Times New Roman" w:eastAsia="MS Mincho" w:hAnsi="Times New Roman"/>
          <w:color w:val="000000"/>
          <w:sz w:val="22"/>
        </w:rPr>
        <w:t>, Jun-ichi Nishikawa</w:t>
      </w:r>
      <w:r w:rsidRPr="00620B08">
        <w:rPr>
          <w:rFonts w:ascii="Times New Roman" w:eastAsia="MS Mincho" w:hAnsi="Times New Roman"/>
          <w:color w:val="000000"/>
          <w:sz w:val="22"/>
          <w:vertAlign w:val="superscript"/>
        </w:rPr>
        <w:t>5</w:t>
      </w:r>
      <w:r w:rsidRPr="00620B08">
        <w:rPr>
          <w:rFonts w:ascii="Times New Roman" w:eastAsia="MS Mincho" w:hAnsi="Times New Roman"/>
          <w:color w:val="000000"/>
          <w:sz w:val="22"/>
        </w:rPr>
        <w:t>, Jianying Hu</w:t>
      </w:r>
      <w:r w:rsidRPr="00620B08">
        <w:rPr>
          <w:rFonts w:ascii="Times New Roman" w:eastAsia="MS Mincho" w:hAnsi="Times New Roman"/>
          <w:color w:val="000000"/>
          <w:sz w:val="22"/>
          <w:vertAlign w:val="superscript"/>
        </w:rPr>
        <w:t>6</w:t>
      </w:r>
      <w:r w:rsidRPr="00620B08">
        <w:rPr>
          <w:rFonts w:ascii="Times New Roman" w:eastAsia="MS Mincho" w:hAnsi="Times New Roman"/>
          <w:color w:val="000000"/>
          <w:sz w:val="22"/>
        </w:rPr>
        <w:t>, Hisamitsu Nagase</w:t>
      </w:r>
      <w:r w:rsidRPr="00620B08">
        <w:rPr>
          <w:rFonts w:ascii="Times New Roman" w:eastAsia="MS Mincho" w:hAnsi="Times New Roman"/>
          <w:color w:val="000000"/>
          <w:sz w:val="22"/>
          <w:vertAlign w:val="superscript"/>
        </w:rPr>
        <w:t>1</w:t>
      </w:r>
      <w:r w:rsidRPr="00620B08">
        <w:rPr>
          <w:rFonts w:ascii="Times New Roman" w:eastAsia="MS Mincho" w:hAnsi="Times New Roman"/>
          <w:color w:val="000000"/>
          <w:sz w:val="22"/>
        </w:rPr>
        <w:t>, and Tsuyoshi Nakanishi</w:t>
      </w:r>
      <w:r w:rsidRPr="00620B08">
        <w:rPr>
          <w:rFonts w:ascii="Times New Roman" w:eastAsia="MS Mincho" w:hAnsi="Times New Roman"/>
          <w:color w:val="000000"/>
          <w:sz w:val="22"/>
          <w:vertAlign w:val="superscript"/>
        </w:rPr>
        <w:t>1,</w:t>
      </w:r>
      <w:r w:rsidRPr="00620B08">
        <w:rPr>
          <w:rFonts w:ascii="Times New Roman" w:eastAsia="MS Mincho" w:hAnsi="Times New Roman"/>
          <w:color w:val="000000"/>
          <w:sz w:val="22"/>
        </w:rPr>
        <w:t>*</w:t>
      </w:r>
    </w:p>
    <w:p w:rsidR="00A06BC9" w:rsidRPr="00620B08" w:rsidRDefault="00A06BC9" w:rsidP="00B123A3">
      <w:pPr>
        <w:spacing w:line="480" w:lineRule="auto"/>
        <w:rPr>
          <w:rFonts w:ascii="Times New Roman" w:eastAsia="MS Mincho" w:hAnsi="Times New Roman"/>
          <w:color w:val="000000"/>
          <w:sz w:val="22"/>
          <w:vertAlign w:val="superscript"/>
        </w:rPr>
      </w:pPr>
    </w:p>
    <w:p w:rsidR="00A06BC9" w:rsidRPr="00620B08" w:rsidRDefault="00A06BC9" w:rsidP="00B123A3">
      <w:pPr>
        <w:spacing w:line="480" w:lineRule="auto"/>
        <w:rPr>
          <w:rFonts w:ascii="Times New Roman" w:eastAsia="MS Mincho" w:hAnsi="Times New Roman"/>
          <w:color w:val="000000"/>
          <w:sz w:val="22"/>
        </w:rPr>
      </w:pPr>
      <w:r w:rsidRPr="00620B08">
        <w:rPr>
          <w:rFonts w:ascii="Times New Roman" w:eastAsia="MS Mincho" w:hAnsi="Times New Roman"/>
          <w:color w:val="000000"/>
          <w:sz w:val="22"/>
          <w:vertAlign w:val="superscript"/>
        </w:rPr>
        <w:t>1</w:t>
      </w:r>
      <w:r w:rsidRPr="00620B08">
        <w:rPr>
          <w:rFonts w:ascii="Times New Roman" w:eastAsia="MS Mincho" w:hAnsi="Times New Roman"/>
          <w:color w:val="000000"/>
          <w:sz w:val="22"/>
        </w:rPr>
        <w:t>Laboratory of Hygienic Chemistry and Molecular Toxicology, Gifu Pharmaceutical University, 1-25-4 Daigaku-nishi, Gifu, Gifu, 501-1196, Japan</w:t>
      </w:r>
    </w:p>
    <w:p w:rsidR="00A06BC9" w:rsidRPr="00620B08" w:rsidRDefault="00A06BC9" w:rsidP="00B123A3">
      <w:pPr>
        <w:tabs>
          <w:tab w:val="left" w:pos="4500"/>
        </w:tabs>
        <w:spacing w:line="480" w:lineRule="auto"/>
        <w:rPr>
          <w:rFonts w:ascii="Times New Roman" w:eastAsia="MS Mincho" w:hAnsi="Times New Roman"/>
          <w:color w:val="000000"/>
          <w:sz w:val="22"/>
        </w:rPr>
      </w:pPr>
      <w:r w:rsidRPr="00620B08">
        <w:rPr>
          <w:rFonts w:ascii="Times New Roman" w:eastAsia="MS Mincho" w:hAnsi="Times New Roman"/>
          <w:color w:val="000000"/>
          <w:sz w:val="22"/>
          <w:vertAlign w:val="superscript"/>
        </w:rPr>
        <w:t>2</w:t>
      </w:r>
      <w:r w:rsidRPr="00620B08">
        <w:rPr>
          <w:rFonts w:ascii="Times New Roman" w:eastAsia="MS Mincho" w:hAnsi="Times New Roman"/>
          <w:color w:val="000000"/>
          <w:sz w:val="22"/>
        </w:rPr>
        <w:t>Research Fellow of the Japan Society for the Promotion of Science, 5-3-1 Kojimachi, Chiyoda-ku, Tokyo, 102-0083, Japan</w:t>
      </w:r>
    </w:p>
    <w:p w:rsidR="00A06BC9" w:rsidRPr="00620B08" w:rsidRDefault="00A06BC9" w:rsidP="00B123A3">
      <w:pPr>
        <w:tabs>
          <w:tab w:val="left" w:pos="4500"/>
        </w:tabs>
        <w:spacing w:line="480" w:lineRule="auto"/>
        <w:rPr>
          <w:rFonts w:ascii="Times New Roman" w:eastAsia="MS Mincho" w:hAnsi="Times New Roman"/>
          <w:color w:val="000000"/>
          <w:sz w:val="22"/>
        </w:rPr>
      </w:pPr>
      <w:r w:rsidRPr="00620B08">
        <w:rPr>
          <w:rFonts w:ascii="Times New Roman" w:eastAsia="MS Mincho" w:hAnsi="Times New Roman"/>
          <w:color w:val="000000"/>
          <w:sz w:val="22"/>
          <w:vertAlign w:val="superscript"/>
        </w:rPr>
        <w:t>3</w:t>
      </w:r>
      <w:r w:rsidRPr="00620B08">
        <w:rPr>
          <w:rFonts w:ascii="Times New Roman" w:eastAsia="MS Mincho" w:hAnsi="Times New Roman"/>
          <w:color w:val="000000"/>
          <w:sz w:val="22"/>
        </w:rPr>
        <w:t>Faculty of Pharmaceutical Sciences, Suzuka University of Medical Science, 3500-3 Minamitamagaki, Suzuka, Mie, 513-8670, Japan</w:t>
      </w:r>
    </w:p>
    <w:p w:rsidR="00A06BC9" w:rsidRPr="00620B08" w:rsidRDefault="00A06BC9" w:rsidP="00B123A3">
      <w:pPr>
        <w:tabs>
          <w:tab w:val="left" w:pos="4500"/>
        </w:tabs>
        <w:spacing w:line="480" w:lineRule="auto"/>
        <w:rPr>
          <w:rFonts w:ascii="Times New Roman" w:eastAsia="MS Mincho" w:hAnsi="Times New Roman"/>
          <w:color w:val="000000"/>
          <w:sz w:val="22"/>
        </w:rPr>
      </w:pPr>
      <w:r w:rsidRPr="00620B08">
        <w:rPr>
          <w:rFonts w:ascii="Times New Roman" w:eastAsia="MS Mincho" w:hAnsi="Times New Roman"/>
          <w:color w:val="000000"/>
          <w:sz w:val="22"/>
          <w:vertAlign w:val="superscript"/>
        </w:rPr>
        <w:t>4</w:t>
      </w:r>
      <w:r w:rsidRPr="00620B08">
        <w:rPr>
          <w:rFonts w:ascii="Times New Roman" w:eastAsia="MS Mincho" w:hAnsi="Times New Roman"/>
          <w:color w:val="000000"/>
          <w:sz w:val="22"/>
        </w:rPr>
        <w:t>Faculty of Science and Engineering, Setsunan University, 17-8 Ikedanakamachi, Neyagawa, 572-8508, Japan</w:t>
      </w:r>
    </w:p>
    <w:p w:rsidR="00A06BC9" w:rsidRPr="00620B08" w:rsidRDefault="00A06BC9" w:rsidP="00B123A3">
      <w:pPr>
        <w:tabs>
          <w:tab w:val="left" w:pos="4500"/>
        </w:tabs>
        <w:spacing w:line="480" w:lineRule="auto"/>
        <w:rPr>
          <w:rFonts w:ascii="Times New Roman" w:eastAsia="MS Mincho" w:hAnsi="Times New Roman"/>
          <w:color w:val="000000"/>
          <w:sz w:val="22"/>
        </w:rPr>
      </w:pPr>
      <w:r w:rsidRPr="00620B08">
        <w:rPr>
          <w:rFonts w:ascii="Times New Roman" w:eastAsia="MS Mincho" w:hAnsi="Times New Roman"/>
          <w:color w:val="000000"/>
          <w:sz w:val="22"/>
          <w:vertAlign w:val="superscript"/>
        </w:rPr>
        <w:t>5</w:t>
      </w:r>
      <w:r w:rsidRPr="00620B08">
        <w:rPr>
          <w:rFonts w:ascii="Times New Roman" w:eastAsia="MS Mincho" w:hAnsi="Times New Roman"/>
          <w:color w:val="000000"/>
          <w:sz w:val="22"/>
        </w:rPr>
        <w:t>Laboratory of Health Sciences, School of Pharmacy and Pharmaceutical Sciences, Mukogawa Women's University, 11-68 Kyuban-cho, Koshien, Nishinomiya, Hyogo, 663-8179, Japan</w:t>
      </w:r>
    </w:p>
    <w:p w:rsidR="00A06BC9" w:rsidRPr="00620B08" w:rsidRDefault="00A06BC9" w:rsidP="00B123A3">
      <w:pPr>
        <w:tabs>
          <w:tab w:val="left" w:pos="4500"/>
        </w:tabs>
        <w:spacing w:line="480" w:lineRule="auto"/>
        <w:rPr>
          <w:rFonts w:ascii="Times New Roman" w:eastAsia="MS Mincho" w:hAnsi="Times New Roman"/>
          <w:color w:val="000000"/>
          <w:sz w:val="22"/>
        </w:rPr>
      </w:pPr>
      <w:r w:rsidRPr="00620B08">
        <w:rPr>
          <w:rFonts w:ascii="Times New Roman" w:eastAsia="MS Mincho" w:hAnsi="Times New Roman"/>
          <w:color w:val="000000"/>
          <w:sz w:val="22"/>
          <w:vertAlign w:val="superscript"/>
        </w:rPr>
        <w:t>6</w:t>
      </w:r>
      <w:r w:rsidRPr="00620B08">
        <w:rPr>
          <w:rFonts w:ascii="Times New Roman" w:eastAsia="MS Mincho" w:hAnsi="Times New Roman"/>
          <w:color w:val="000000"/>
          <w:sz w:val="22"/>
        </w:rPr>
        <w:t>MOE Laboratory for Earth Surface Processes, College of Urban and Environmental Sciences, Peking University, Beijing, 100871, China</w:t>
      </w:r>
    </w:p>
    <w:p w:rsidR="00A06BC9" w:rsidRPr="00620B08" w:rsidRDefault="00A06BC9" w:rsidP="00B123A3">
      <w:pPr>
        <w:tabs>
          <w:tab w:val="left" w:pos="4500"/>
        </w:tabs>
        <w:spacing w:line="480" w:lineRule="auto"/>
        <w:rPr>
          <w:rFonts w:ascii="Times New Roman" w:eastAsia="MS Mincho" w:hAnsi="Times New Roman"/>
          <w:color w:val="000000"/>
          <w:sz w:val="22"/>
        </w:rPr>
      </w:pPr>
    </w:p>
    <w:p w:rsidR="00A06BC9" w:rsidRPr="00620B08" w:rsidRDefault="00A06BC9" w:rsidP="00B123A3">
      <w:pPr>
        <w:tabs>
          <w:tab w:val="left" w:pos="4500"/>
        </w:tabs>
        <w:spacing w:line="480" w:lineRule="auto"/>
        <w:rPr>
          <w:rFonts w:ascii="Times New Roman" w:eastAsia="MS Mincho" w:hAnsi="Times New Roman"/>
          <w:color w:val="000000"/>
          <w:sz w:val="22"/>
        </w:rPr>
      </w:pPr>
      <w:r w:rsidRPr="00620B08">
        <w:rPr>
          <w:rFonts w:ascii="Times New Roman" w:eastAsia="MS Mincho" w:hAnsi="Times New Roman"/>
          <w:color w:val="000000"/>
          <w:sz w:val="22"/>
          <w:vertAlign w:val="superscript"/>
        </w:rPr>
        <w:t>a</w:t>
      </w:r>
      <w:r w:rsidRPr="00620B08">
        <w:rPr>
          <w:rFonts w:ascii="Times New Roman" w:eastAsia="MS Mincho" w:hAnsi="Times New Roman"/>
          <w:color w:val="000000"/>
          <w:sz w:val="22"/>
        </w:rPr>
        <w:t>These authors contributed equally to the work.</w:t>
      </w:r>
    </w:p>
    <w:p w:rsidR="00A06BC9" w:rsidRPr="00620B08" w:rsidRDefault="00A06BC9" w:rsidP="00B123A3">
      <w:pPr>
        <w:tabs>
          <w:tab w:val="left" w:pos="4500"/>
        </w:tabs>
        <w:spacing w:line="480" w:lineRule="auto"/>
        <w:rPr>
          <w:rFonts w:ascii="Times New Roman" w:eastAsia="MS Mincho" w:hAnsi="Times New Roman"/>
          <w:color w:val="000000"/>
          <w:sz w:val="22"/>
        </w:rPr>
      </w:pPr>
      <w:r w:rsidRPr="00620B08">
        <w:rPr>
          <w:rFonts w:ascii="Times New Roman" w:eastAsia="MS Mincho" w:hAnsi="Times New Roman"/>
          <w:color w:val="000000"/>
          <w:sz w:val="22"/>
        </w:rPr>
        <w:t xml:space="preserve">*Correspondence should be addressed to Tsuyoshi Nakanishi PhD. E-mail: </w:t>
      </w:r>
      <w:hyperlink r:id="rId6" w:history="1">
        <w:r w:rsidRPr="00620B08">
          <w:rPr>
            <w:rFonts w:ascii="Times New Roman" w:eastAsia="MS Mincho" w:hAnsi="Times New Roman"/>
            <w:color w:val="000000"/>
            <w:sz w:val="22"/>
            <w:u w:val="single"/>
          </w:rPr>
          <w:t>nakanishi@gifu-pu.ac.jp</w:t>
        </w:r>
      </w:hyperlink>
      <w:r w:rsidRPr="00620B08">
        <w:rPr>
          <w:rFonts w:ascii="Times New Roman" w:eastAsia="MS Mincho" w:hAnsi="Times New Roman"/>
          <w:color w:val="000000"/>
          <w:sz w:val="22"/>
        </w:rPr>
        <w:t>; Tel: +81-58-230-8100 (ext.3644); Fax: +81-58-230-8117</w:t>
      </w:r>
    </w:p>
    <w:bookmarkEnd w:id="0"/>
    <w:p w:rsidR="00A06BC9" w:rsidRPr="00620B08" w:rsidRDefault="00A06BC9" w:rsidP="00B123A3">
      <w:pPr>
        <w:tabs>
          <w:tab w:val="left" w:pos="4500"/>
        </w:tabs>
        <w:spacing w:line="480" w:lineRule="auto"/>
        <w:rPr>
          <w:rFonts w:ascii="Times New Roman" w:eastAsia="MS Mincho" w:hAnsi="Times New Roman"/>
          <w:color w:val="000000"/>
          <w:sz w:val="22"/>
        </w:rPr>
      </w:pPr>
      <w:r w:rsidRPr="00620B08">
        <w:rPr>
          <w:rFonts w:ascii="Times New Roman" w:eastAsia="MS Mincho" w:hAnsi="Times New Roman"/>
          <w:color w:val="000000"/>
          <w:sz w:val="22"/>
          <w:vertAlign w:val="superscript"/>
        </w:rPr>
        <w:t>†</w:t>
      </w:r>
      <w:r w:rsidRPr="00620B08">
        <w:rPr>
          <w:rFonts w:ascii="Times New Roman" w:eastAsia="MS Mincho" w:hAnsi="Times New Roman"/>
          <w:color w:val="000000"/>
          <w:sz w:val="22"/>
        </w:rPr>
        <w:t>Present address: Laboratory of Nutritional Science, Department of Food Science and Nutrition, Shikoku Junior College, Ohjin, Tokushima, 771-1192, Japan</w:t>
      </w:r>
    </w:p>
    <w:p w:rsidR="00A06BC9" w:rsidRPr="00620B08" w:rsidRDefault="00A06BC9" w:rsidP="00B123A3">
      <w:pPr>
        <w:tabs>
          <w:tab w:val="left" w:pos="4500"/>
        </w:tabs>
        <w:spacing w:line="480" w:lineRule="auto"/>
        <w:rPr>
          <w:rFonts w:ascii="Times New Roman" w:eastAsia="MS Mincho" w:hAnsi="Times New Roman"/>
          <w:color w:val="000000"/>
          <w:sz w:val="22"/>
        </w:rPr>
      </w:pPr>
    </w:p>
    <w:p w:rsidR="00A06BC9" w:rsidRPr="00620B08" w:rsidRDefault="00A06BC9" w:rsidP="00B123A3">
      <w:pPr>
        <w:widowControl/>
        <w:spacing w:line="480" w:lineRule="auto"/>
        <w:jc w:val="left"/>
        <w:rPr>
          <w:rFonts w:ascii="Times New Roman" w:hAnsi="Times New Roman"/>
          <w:color w:val="000000"/>
          <w:sz w:val="22"/>
        </w:rPr>
      </w:pPr>
      <w:r w:rsidRPr="00620B08">
        <w:rPr>
          <w:rFonts w:ascii="Times New Roman" w:hAnsi="Times New Roman"/>
          <w:color w:val="000000"/>
          <w:sz w:val="22"/>
        </w:rPr>
        <w:br w:type="page"/>
      </w:r>
    </w:p>
    <w:p w:rsidR="00A06BC9" w:rsidRPr="00620B08" w:rsidRDefault="00A06BC9" w:rsidP="00B123A3">
      <w:pPr>
        <w:tabs>
          <w:tab w:val="left" w:pos="4500"/>
        </w:tabs>
        <w:spacing w:line="480" w:lineRule="auto"/>
        <w:rPr>
          <w:rFonts w:ascii="Times New Roman" w:hAnsi="Times New Roman"/>
          <w:b/>
          <w:iCs/>
          <w:color w:val="000000"/>
          <w:sz w:val="22"/>
        </w:rPr>
      </w:pPr>
      <w:r w:rsidRPr="00620B08">
        <w:rPr>
          <w:rFonts w:ascii="Times New Roman" w:hAnsi="Times New Roman"/>
          <w:b/>
          <w:iCs/>
          <w:color w:val="000000"/>
          <w:sz w:val="22"/>
        </w:rPr>
        <w:t>Materials and methods</w:t>
      </w:r>
    </w:p>
    <w:p w:rsidR="00A06BC9" w:rsidRPr="00620B08" w:rsidRDefault="00A06BC9" w:rsidP="00B123A3">
      <w:pPr>
        <w:widowControl/>
        <w:spacing w:line="480" w:lineRule="auto"/>
        <w:rPr>
          <w:rFonts w:ascii="Times New Roman" w:hAnsi="Times New Roman"/>
          <w:color w:val="000000"/>
          <w:sz w:val="22"/>
        </w:rPr>
      </w:pPr>
    </w:p>
    <w:p w:rsidR="00A06BC9" w:rsidRPr="00620B08" w:rsidRDefault="00A06BC9" w:rsidP="00B123A3">
      <w:pPr>
        <w:widowControl/>
        <w:spacing w:line="480" w:lineRule="auto"/>
        <w:rPr>
          <w:rFonts w:ascii="Times New Roman" w:hAnsi="Times New Roman"/>
          <w:b/>
          <w:iCs/>
          <w:color w:val="000000"/>
          <w:sz w:val="22"/>
        </w:rPr>
      </w:pPr>
      <w:bookmarkStart w:id="1" w:name="_Hlk15573547"/>
      <w:r w:rsidRPr="00620B08">
        <w:rPr>
          <w:rFonts w:ascii="Times New Roman" w:hAnsi="Times New Roman"/>
          <w:b/>
          <w:color w:val="000000"/>
          <w:sz w:val="22"/>
        </w:rPr>
        <w:t>Sequence of pUC-2</w:t>
      </w:r>
      <w:r w:rsidRPr="00620B08">
        <w:rPr>
          <w:rFonts w:ascii="Times New Roman" w:hAnsi="Times New Roman"/>
          <w:b/>
          <w:color w:val="000000"/>
          <w:sz w:val="22"/>
        </w:rPr>
        <w:sym w:font="Symbol" w:char="F0B4"/>
      </w:r>
      <w:r w:rsidRPr="00620B08">
        <w:rPr>
          <w:rFonts w:ascii="Times New Roman" w:hAnsi="Times New Roman"/>
          <w:b/>
          <w:color w:val="000000"/>
          <w:sz w:val="22"/>
        </w:rPr>
        <w:t>insulator</w:t>
      </w:r>
    </w:p>
    <w:p w:rsidR="00A06BC9" w:rsidRPr="00620B08" w:rsidRDefault="00A06BC9" w:rsidP="00B123A3">
      <w:pPr>
        <w:widowControl/>
        <w:spacing w:line="480" w:lineRule="auto"/>
        <w:rPr>
          <w:rFonts w:ascii="Times New Roman" w:hAnsi="Times New Roman"/>
          <w:color w:val="000000"/>
          <w:sz w:val="22"/>
        </w:rPr>
      </w:pPr>
      <w:r w:rsidRPr="00620B08">
        <w:rPr>
          <w:rFonts w:ascii="Times New Roman" w:hAnsi="Times New Roman"/>
          <w:color w:val="000000"/>
          <w:sz w:val="22"/>
        </w:rPr>
        <w:t xml:space="preserve">To minimize position effects of DNA sequences surrounding the transgene and improve the gradual extinction of the reporter expression, we flanked the transgene on both sides with two 239-bp GC-rich core fragments of the chick β-globin insulator containing </w:t>
      </w:r>
      <w:r w:rsidRPr="00620B08">
        <w:rPr>
          <w:rFonts w:ascii="Times New Roman" w:hAnsi="Times New Roman"/>
          <w:i/>
          <w:color w:val="000000"/>
          <w:sz w:val="22"/>
        </w:rPr>
        <w:t>Spe</w:t>
      </w:r>
      <w:r w:rsidRPr="00620B08">
        <w:rPr>
          <w:rFonts w:ascii="Times New Roman" w:hAnsi="Times New Roman"/>
          <w:color w:val="000000"/>
          <w:sz w:val="22"/>
        </w:rPr>
        <w:t xml:space="preserve">I and </w:t>
      </w:r>
      <w:r w:rsidRPr="00620B08">
        <w:rPr>
          <w:rFonts w:ascii="Times New Roman" w:hAnsi="Times New Roman"/>
          <w:i/>
          <w:color w:val="000000"/>
          <w:sz w:val="22"/>
        </w:rPr>
        <w:t>Sac</w:t>
      </w:r>
      <w:r w:rsidRPr="00620B08">
        <w:rPr>
          <w:rFonts w:ascii="Times New Roman" w:hAnsi="Times New Roman"/>
          <w:color w:val="000000"/>
          <w:sz w:val="22"/>
        </w:rPr>
        <w:t>II (pUC-2</w:t>
      </w:r>
      <w:r w:rsidRPr="00620B08">
        <w:rPr>
          <w:rFonts w:ascii="Times New Roman" w:hAnsi="Times New Roman"/>
          <w:color w:val="000000"/>
          <w:sz w:val="22"/>
        </w:rPr>
        <w:sym w:font="Symbol" w:char="F0B4"/>
      </w:r>
      <w:r w:rsidRPr="00620B08">
        <w:rPr>
          <w:rFonts w:ascii="Times New Roman" w:hAnsi="Times New Roman"/>
          <w:color w:val="000000"/>
          <w:sz w:val="22"/>
        </w:rPr>
        <w:t xml:space="preserve">insulator; Takara Bio; </w:t>
      </w:r>
      <w:r w:rsidRPr="00620B08">
        <w:rPr>
          <w:rFonts w:ascii="Times New Roman" w:hAnsi="Times New Roman"/>
          <w:i/>
          <w:color w:val="000000"/>
          <w:sz w:val="22"/>
        </w:rPr>
        <w:t>Gallus gallus</w:t>
      </w:r>
      <w:r w:rsidRPr="00620B08">
        <w:rPr>
          <w:rFonts w:ascii="Times New Roman" w:hAnsi="Times New Roman"/>
          <w:color w:val="000000"/>
          <w:sz w:val="22"/>
        </w:rPr>
        <w:t xml:space="preserve"> HS4 insulator, Gene Accession No. U78775); the sequence of these two fragments was as follows: 5′-CCGCGGACTAGTGAGCTCACGGGGACAGCCCCCCCCCAAAGCCCCCAGGGATGTAATTACGTCCCTCCCCCGCTAGGGGGCAGCAGCGAGCCGCCCGGGGCTCCGCTCCGGTCCGGCGCTCCCCCCGCATCCCCGAGCCGGCAGCGTGCGGGGACAGCCCGGGCACGGGGAAGGTGGCACGGGATCGCTTTCCTCTGAACGCTTCTCGCTGCTCTTTGAGCCTGCAGACACCTGGGGGGATACGGGGAAAAGAGCTCACGGGGACAGCCCCCCCCCAAAGCCCCCAGGGATGTAATTACGTCCCTCCCCCGCTAGGGGGCAGCAGCGAGCCGCCCGGGGCTCCGCTCCGGTCCGGCGCTCCCCCCGCATCCCCGAGCCGGCAGCGTGCGGGGACAGCCCGGGCACGGGGAAGGTGGCACGGGATCGCTTTCCTCTGAACGCTTCTCGCTGCTCTTTGAGCCTGCAGACACCTGGGGGGATACGGGGAAAAACTAGTCCGCGG-3′ (502 bp).</w:t>
      </w:r>
    </w:p>
    <w:bookmarkEnd w:id="1"/>
    <w:p w:rsidR="00A06BC9" w:rsidRPr="00620B08" w:rsidRDefault="00A06BC9" w:rsidP="00B123A3">
      <w:pPr>
        <w:widowControl/>
        <w:spacing w:line="480" w:lineRule="auto"/>
        <w:rPr>
          <w:rFonts w:ascii="Times New Roman" w:hAnsi="Times New Roman"/>
          <w:color w:val="000000"/>
          <w:sz w:val="22"/>
        </w:rPr>
      </w:pPr>
    </w:p>
    <w:p w:rsidR="00A06BC9" w:rsidRPr="00620B08" w:rsidRDefault="00A06BC9" w:rsidP="00B123A3">
      <w:pPr>
        <w:widowControl/>
        <w:spacing w:line="480" w:lineRule="auto"/>
        <w:rPr>
          <w:rFonts w:ascii="Times New Roman" w:hAnsi="Times New Roman"/>
          <w:b/>
          <w:iCs/>
          <w:color w:val="000000"/>
          <w:sz w:val="22"/>
        </w:rPr>
      </w:pPr>
      <w:r w:rsidRPr="00620B08">
        <w:rPr>
          <w:rFonts w:ascii="Times New Roman" w:hAnsi="Times New Roman"/>
          <w:b/>
          <w:iCs/>
          <w:color w:val="000000"/>
          <w:sz w:val="22"/>
        </w:rPr>
        <w:t>Generation of E-Rep Tg mice</w:t>
      </w:r>
    </w:p>
    <w:p w:rsidR="00A06BC9" w:rsidRPr="00620B08" w:rsidRDefault="00A06BC9" w:rsidP="00B123A3">
      <w:pPr>
        <w:widowControl/>
        <w:spacing w:line="480" w:lineRule="auto"/>
        <w:rPr>
          <w:rFonts w:ascii="Times New Roman" w:hAnsi="Times New Roman"/>
          <w:color w:val="000000"/>
          <w:sz w:val="22"/>
        </w:rPr>
      </w:pPr>
      <w:r w:rsidRPr="00620B08">
        <w:rPr>
          <w:rFonts w:ascii="Times New Roman" w:hAnsi="Times New Roman"/>
          <w:color w:val="000000"/>
          <w:sz w:val="22"/>
        </w:rPr>
        <w:t>Using the pGEM-4</w:t>
      </w:r>
      <w:r w:rsidRPr="00620B08">
        <w:rPr>
          <w:rFonts w:ascii="Times New Roman" w:hAnsi="Times New Roman"/>
          <w:color w:val="000000"/>
          <w:sz w:val="22"/>
        </w:rPr>
        <w:sym w:font="Symbol" w:char="F0B4"/>
      </w:r>
      <w:r w:rsidRPr="00620B08">
        <w:rPr>
          <w:rFonts w:ascii="Times New Roman" w:hAnsi="Times New Roman"/>
          <w:color w:val="000000"/>
          <w:sz w:val="22"/>
        </w:rPr>
        <w:t>ERE-MycLuc vector, purified by using Wizard SV Gel and PCR Clean-Up System (Promega, Madison, WI), SLC Japan (Hamamatsu, Japan) generated five founder lines of E-Rep Tg mice on our behalf. After weaning, mouse genomic DNA for genotyping was extracted from tail biopsies. Briefly, tissues were lysed by addition of 0.15 M sodium citrate, 1.5 M NaCl, 1 mM EDTA, 1% SDS, 10 mM Tris–HCl (pH 7.5), and 100 μg/mL Proteinase K and incubated overnight at 37°C. Then, polymerase chain reaction (PCR) was conducted to confirm reporter construct integration into the mouse genome by using a buffer containing 0.5 μM of each primer (forward primer Luc-FP: 5′-TGGCCAAACGCTTCCACCTAC-3′; reverse primer Luc-RP: 5′-TGTTGCAGCAGGATGCTCTCC-3′) and 2×Quick TaqTM</w:t>
      </w:r>
      <w:r w:rsidRPr="00620B08">
        <w:rPr>
          <w:rFonts w:ascii="Times New Roman" w:hAnsi="Times New Roman"/>
          <w:color w:val="000000"/>
          <w:sz w:val="22"/>
          <w:vertAlign w:val="superscript"/>
        </w:rPr>
        <w:t>HS</w:t>
      </w:r>
      <w:r w:rsidRPr="00620B08">
        <w:rPr>
          <w:rFonts w:ascii="Times New Roman" w:hAnsi="Times New Roman"/>
          <w:color w:val="000000"/>
          <w:sz w:val="22"/>
        </w:rPr>
        <w:t xml:space="preserve"> DyeMix (TOYOBO, Osaka, Japan) as the genomic DNA template. The PCR conditions were 95°C for 5 min followed by 35 cycles at 95°C for 30 s, 63°C for 30 s, and 72°C for 30 s. The amplified luciferase (403 bp) products were analyzed on 2% agarose gels stained with ethidium bromide.</w:t>
      </w:r>
    </w:p>
    <w:p w:rsidR="00A06BC9" w:rsidRPr="00620B08" w:rsidRDefault="00A06BC9" w:rsidP="00B123A3">
      <w:pPr>
        <w:widowControl/>
        <w:spacing w:line="480" w:lineRule="auto"/>
        <w:ind w:firstLine="284"/>
        <w:rPr>
          <w:rFonts w:ascii="Times New Roman" w:hAnsi="Times New Roman"/>
          <w:color w:val="000000"/>
          <w:sz w:val="22"/>
        </w:rPr>
      </w:pPr>
      <w:r w:rsidRPr="00620B08">
        <w:rPr>
          <w:rFonts w:ascii="Times New Roman" w:hAnsi="Times New Roman"/>
          <w:color w:val="000000"/>
          <w:sz w:val="22"/>
        </w:rPr>
        <w:t xml:space="preserve">At the third week of age, potential founder mice were screened by PCR for transgenic mice selection. Five of the founder mice were fertile and were used to produce subsequent generations by breeding with the </w:t>
      </w:r>
      <w:r w:rsidRPr="00620B08">
        <w:rPr>
          <w:rFonts w:ascii="Times New Roman" w:hAnsi="Times New Roman"/>
          <w:bCs/>
          <w:color w:val="000000"/>
          <w:sz w:val="22"/>
        </w:rPr>
        <w:t>ICR wild-type</w:t>
      </w:r>
      <w:r w:rsidRPr="00620B08">
        <w:rPr>
          <w:rFonts w:ascii="Times New Roman" w:hAnsi="Times New Roman"/>
          <w:color w:val="000000"/>
          <w:sz w:val="22"/>
        </w:rPr>
        <w:t xml:space="preserve"> mouse background (SLC, Hamamatsu, Japan). All the female mice born from the F1 generation and thereafter were used for analysis; therefore, the transgenic lines could only be maintained by mating ICR </w:t>
      </w:r>
      <w:r w:rsidRPr="00620B08">
        <w:rPr>
          <w:rFonts w:ascii="Times New Roman" w:hAnsi="Times New Roman"/>
          <w:bCs/>
          <w:color w:val="000000"/>
          <w:sz w:val="22"/>
        </w:rPr>
        <w:t xml:space="preserve">wild-type </w:t>
      </w:r>
      <w:r w:rsidRPr="00620B08">
        <w:rPr>
          <w:rFonts w:ascii="Times New Roman" w:hAnsi="Times New Roman"/>
          <w:color w:val="000000"/>
          <w:sz w:val="22"/>
        </w:rPr>
        <w:t xml:space="preserve">females with E-Rep Tg males. </w:t>
      </w:r>
    </w:p>
    <w:p w:rsidR="00A06BC9" w:rsidRPr="00620B08" w:rsidRDefault="00A06BC9" w:rsidP="00B123A3">
      <w:pPr>
        <w:tabs>
          <w:tab w:val="left" w:pos="4500"/>
        </w:tabs>
        <w:spacing w:line="480" w:lineRule="auto"/>
        <w:rPr>
          <w:rFonts w:ascii="Times New Roman" w:hAnsi="Times New Roman"/>
          <w:color w:val="000000"/>
          <w:sz w:val="22"/>
        </w:rPr>
      </w:pPr>
    </w:p>
    <w:p w:rsidR="00A06BC9" w:rsidRPr="00620B08" w:rsidRDefault="00A06BC9" w:rsidP="00B123A3">
      <w:pPr>
        <w:tabs>
          <w:tab w:val="left" w:pos="4500"/>
        </w:tabs>
        <w:spacing w:line="480" w:lineRule="auto"/>
        <w:rPr>
          <w:rFonts w:ascii="Times New Roman" w:hAnsi="Times New Roman"/>
          <w:b/>
          <w:iCs/>
          <w:color w:val="000000"/>
          <w:sz w:val="22"/>
        </w:rPr>
      </w:pPr>
      <w:r w:rsidRPr="00620B08">
        <w:rPr>
          <w:rFonts w:ascii="Times New Roman" w:hAnsi="Times New Roman"/>
          <w:b/>
          <w:iCs/>
          <w:color w:val="000000"/>
          <w:sz w:val="22"/>
        </w:rPr>
        <w:t xml:space="preserve">Luciferase assay to confirm estrogen-dependent reporter response of </w:t>
      </w:r>
      <w:r w:rsidRPr="00620B08">
        <w:rPr>
          <w:rFonts w:ascii="Times New Roman" w:hAnsi="Times New Roman"/>
          <w:b/>
          <w:color w:val="000000"/>
          <w:sz w:val="22"/>
        </w:rPr>
        <w:t>pGL4.23-4</w:t>
      </w:r>
      <w:r w:rsidRPr="00620B08">
        <w:rPr>
          <w:rFonts w:ascii="Times New Roman" w:hAnsi="Times New Roman"/>
          <w:b/>
          <w:color w:val="000000"/>
          <w:sz w:val="22"/>
        </w:rPr>
        <w:sym w:font="Symbol" w:char="F0B4"/>
      </w:r>
      <w:r w:rsidRPr="00620B08">
        <w:rPr>
          <w:rFonts w:ascii="Times New Roman" w:hAnsi="Times New Roman"/>
          <w:b/>
          <w:color w:val="000000"/>
          <w:sz w:val="22"/>
        </w:rPr>
        <w:t>ERE-MycLuc</w:t>
      </w:r>
    </w:p>
    <w:p w:rsidR="00A06BC9" w:rsidRPr="00620B08" w:rsidRDefault="00A06BC9" w:rsidP="00B123A3">
      <w:pPr>
        <w:widowControl/>
        <w:spacing w:line="480" w:lineRule="auto"/>
        <w:rPr>
          <w:rFonts w:ascii="Times New Roman" w:hAnsi="Times New Roman"/>
          <w:color w:val="000000"/>
          <w:sz w:val="22"/>
        </w:rPr>
      </w:pPr>
      <w:r w:rsidRPr="00620B08">
        <w:rPr>
          <w:rFonts w:ascii="Times New Roman" w:hAnsi="Times New Roman"/>
          <w:color w:val="000000"/>
          <w:sz w:val="22"/>
        </w:rPr>
        <w:t>Human trophoblast choriocarcinoma JEG-3 cells (5 × 10</w:t>
      </w:r>
      <w:r w:rsidRPr="00620B08">
        <w:rPr>
          <w:rFonts w:ascii="Times New Roman" w:hAnsi="Times New Roman"/>
          <w:color w:val="000000"/>
          <w:sz w:val="22"/>
          <w:vertAlign w:val="superscript"/>
        </w:rPr>
        <w:t>4</w:t>
      </w:r>
      <w:r w:rsidRPr="00620B08">
        <w:rPr>
          <w:rFonts w:ascii="Times New Roman" w:hAnsi="Times New Roman"/>
          <w:color w:val="000000"/>
          <w:sz w:val="22"/>
        </w:rPr>
        <w:t xml:space="preserve"> cells/well) were seeded in 24-well plates. After 24 h, transient transfection with the each reporter plasmid (pGL4.23-4</w:t>
      </w:r>
      <w:r w:rsidRPr="00620B08">
        <w:rPr>
          <w:rFonts w:ascii="Times New Roman" w:hAnsi="Times New Roman"/>
          <w:color w:val="000000"/>
          <w:sz w:val="22"/>
        </w:rPr>
        <w:sym w:font="Symbol" w:char="F0B4"/>
      </w:r>
      <w:r w:rsidRPr="00620B08">
        <w:rPr>
          <w:rFonts w:ascii="Times New Roman" w:hAnsi="Times New Roman"/>
          <w:color w:val="000000"/>
          <w:sz w:val="22"/>
        </w:rPr>
        <w:t>ERE-Luc or pGL4.23-4</w:t>
      </w:r>
      <w:r w:rsidRPr="00620B08">
        <w:rPr>
          <w:rFonts w:ascii="Times New Roman" w:hAnsi="Times New Roman"/>
          <w:color w:val="000000"/>
          <w:sz w:val="22"/>
        </w:rPr>
        <w:sym w:font="Symbol" w:char="F0B4"/>
      </w:r>
      <w:r w:rsidRPr="00620B08">
        <w:rPr>
          <w:rFonts w:ascii="Times New Roman" w:hAnsi="Times New Roman"/>
          <w:color w:val="000000"/>
          <w:sz w:val="22"/>
        </w:rPr>
        <w:t xml:space="preserve">ERE-MycLuc) together with the ERα expression vector pSV-hERα was performed with Lipofectamine Plus regent (Invitrogen, Carlsbad, CA) using serum-free medium in accordance with the manufacturer’s instructions. To normalize luciferase activity for transfection and harvesting efficiency, the </w:t>
      </w:r>
      <w:r w:rsidRPr="00620B08">
        <w:rPr>
          <w:rFonts w:ascii="Times New Roman" w:hAnsi="Times New Roman"/>
          <w:i/>
          <w:color w:val="000000"/>
          <w:sz w:val="22"/>
        </w:rPr>
        <w:t>Renilla</w:t>
      </w:r>
      <w:r w:rsidRPr="00620B08">
        <w:rPr>
          <w:rFonts w:ascii="Times New Roman" w:hAnsi="Times New Roman"/>
          <w:color w:val="000000"/>
          <w:sz w:val="22"/>
        </w:rPr>
        <w:t xml:space="preserve"> luciferase control reporter construct pRL-TK (Promega, Madison, WI) was also included in the co-transfections as an internal standard. Three hours after transfection, the culture medium was replaced with medium containing 0.1% fetal calf serum from which steroid hormones had been removed by charcoal treatment. After 21 h, 17β-estradiol (</w:t>
      </w:r>
      <w:r w:rsidRPr="00620B08">
        <w:rPr>
          <w:rFonts w:ascii="Times New Roman" w:eastAsia="MS PGothic" w:hAnsi="Times New Roman"/>
          <w:color w:val="000000"/>
          <w:kern w:val="0"/>
          <w:sz w:val="22"/>
        </w:rPr>
        <w:t>E2;</w:t>
      </w:r>
      <w:r w:rsidRPr="00620B08">
        <w:rPr>
          <w:rFonts w:ascii="Times New Roman" w:hAnsi="Times New Roman"/>
          <w:color w:val="000000"/>
          <w:sz w:val="22"/>
        </w:rPr>
        <w:t xml:space="preserve"> Sigma-Aldrich, St.Louis, MO) was added to the transfected cells to a final concentration of 0, 1, 10, or 100 nM. The cells were then incubated for 48 h before harvesting for the determination of luciferase activity. Both firefly and </w:t>
      </w:r>
      <w:r w:rsidRPr="00620B08">
        <w:rPr>
          <w:rFonts w:ascii="Times New Roman" w:hAnsi="Times New Roman"/>
          <w:i/>
          <w:color w:val="000000"/>
          <w:sz w:val="22"/>
        </w:rPr>
        <w:t>Renilla</w:t>
      </w:r>
      <w:r w:rsidRPr="00620B08">
        <w:rPr>
          <w:rFonts w:ascii="Times New Roman" w:hAnsi="Times New Roman"/>
          <w:color w:val="000000"/>
          <w:sz w:val="22"/>
        </w:rPr>
        <w:t xml:space="preserve"> luciferase activity were measured using and a Dual Luciferase Reporter Assay Kit (Promega, Madison, WI) and a luminometer (Berthold, Bad Wildbad, Germany</w:t>
      </w:r>
      <w:r w:rsidRPr="00620B08">
        <w:rPr>
          <w:rFonts w:ascii="Times New Roman" w:eastAsia="MS PGothic" w:hAnsi="Times New Roman"/>
          <w:color w:val="000000"/>
          <w:kern w:val="0"/>
          <w:sz w:val="22"/>
        </w:rPr>
        <w:t xml:space="preserve">) </w:t>
      </w:r>
      <w:r w:rsidRPr="00620B08">
        <w:rPr>
          <w:rFonts w:ascii="Times New Roman" w:hAnsi="Times New Roman"/>
          <w:color w:val="000000"/>
          <w:sz w:val="22"/>
        </w:rPr>
        <w:t>in accordance with both manufacturers’ instructions. Each experiment was conducted in triplicate.</w:t>
      </w:r>
    </w:p>
    <w:p w:rsidR="00A06BC9" w:rsidRPr="00620B08" w:rsidRDefault="00A06BC9" w:rsidP="00B123A3">
      <w:pPr>
        <w:widowControl/>
        <w:spacing w:line="480" w:lineRule="auto"/>
        <w:rPr>
          <w:rFonts w:ascii="Times New Roman" w:hAnsi="Times New Roman"/>
          <w:color w:val="000000"/>
          <w:sz w:val="22"/>
        </w:rPr>
      </w:pPr>
    </w:p>
    <w:p w:rsidR="00A06BC9" w:rsidRPr="00620B08" w:rsidRDefault="00A06BC9" w:rsidP="00B123A3">
      <w:pPr>
        <w:widowControl/>
        <w:spacing w:line="480" w:lineRule="auto"/>
        <w:rPr>
          <w:rFonts w:ascii="Times New Roman" w:hAnsi="Times New Roman"/>
          <w:b/>
          <w:iCs/>
          <w:color w:val="000000"/>
          <w:sz w:val="22"/>
        </w:rPr>
      </w:pPr>
      <w:r w:rsidRPr="00620B08">
        <w:rPr>
          <w:rFonts w:ascii="Times New Roman" w:hAnsi="Times New Roman"/>
          <w:b/>
          <w:iCs/>
          <w:color w:val="000000"/>
          <w:sz w:val="22"/>
        </w:rPr>
        <w:t>Quantitative real-time PCR analysis</w:t>
      </w:r>
    </w:p>
    <w:p w:rsidR="00A06BC9" w:rsidRPr="00620B08" w:rsidRDefault="00A06BC9" w:rsidP="00612A10">
      <w:pPr>
        <w:widowControl/>
        <w:spacing w:line="480" w:lineRule="auto"/>
        <w:rPr>
          <w:rFonts w:ascii="Times New Roman" w:hAnsi="Times New Roman"/>
          <w:color w:val="000000"/>
          <w:sz w:val="22"/>
        </w:rPr>
      </w:pPr>
      <w:r w:rsidRPr="00620B08">
        <w:rPr>
          <w:rFonts w:ascii="Times New Roman" w:hAnsi="Times New Roman"/>
          <w:color w:val="000000"/>
          <w:sz w:val="22"/>
        </w:rPr>
        <w:t>Individual female mice tissues were rapidly frozen at −80°C.</w:t>
      </w:r>
      <w:r w:rsidRPr="00620B08">
        <w:rPr>
          <w:rFonts w:ascii="Times New Roman" w:hAnsi="Times New Roman"/>
          <w:b/>
          <w:bCs/>
          <w:color w:val="000000"/>
          <w:sz w:val="22"/>
        </w:rPr>
        <w:t xml:space="preserve"> </w:t>
      </w:r>
      <w:r w:rsidRPr="00620B08">
        <w:rPr>
          <w:rFonts w:ascii="Times New Roman" w:hAnsi="Times New Roman"/>
          <w:color w:val="000000"/>
          <w:sz w:val="22"/>
        </w:rPr>
        <w:t>Total RNA was extracted from target tissues using TRIzol Reagent (Invitrogen, Carlsbad, CA). Total RNA (1 μg) was reverse transcribed with ImProm-II Reverse Transcriptase (Promega, Madison, WI) and oligo-(dT) primer (5′-GCGAGTCGACCGTTTTTTTTTTTTTVN-3′) for 1 h at 42°C. After termination of cDNA synthesis, reaction mixtures were diluted with 5 volumes of Tris–EDTA. Aliquots (2 μL) of diluted reverse-transcribed products were amplified in a reaction mixture containing QuantiTect SYBR</w:t>
      </w:r>
      <w:r w:rsidRPr="00620B08">
        <w:rPr>
          <w:rFonts w:ascii="Times New Roman" w:hAnsi="Times New Roman"/>
          <w:color w:val="000000"/>
          <w:sz w:val="22"/>
          <w:vertAlign w:val="superscript"/>
        </w:rPr>
        <w:t>®</w:t>
      </w:r>
      <w:r w:rsidRPr="00620B08">
        <w:rPr>
          <w:rFonts w:ascii="Times New Roman" w:hAnsi="Times New Roman"/>
          <w:color w:val="000000"/>
          <w:sz w:val="22"/>
        </w:rPr>
        <w:t xml:space="preserve"> Green PCR Kits (QIAGEN, Hilden, Germany) and 0.5 μM of each primer. Quantitative real-time PCR was performed on a Light Cycler 96 (Roche; Basel, Switzerland). mRNA levels were calculated using standard curve method. The mRNA levels were normalized to β-actin. The primer sequences (forward and reverse) and lengths of the amplified products are given in Table S1. </w:t>
      </w:r>
    </w:p>
    <w:p w:rsidR="00A06BC9" w:rsidRPr="00620B08" w:rsidRDefault="00A06BC9" w:rsidP="00B123A3">
      <w:pPr>
        <w:widowControl/>
        <w:spacing w:line="480" w:lineRule="auto"/>
        <w:jc w:val="left"/>
        <w:rPr>
          <w:rFonts w:ascii="Times New Roman" w:hAnsi="Times New Roman"/>
          <w:color w:val="000000"/>
          <w:sz w:val="22"/>
        </w:rPr>
      </w:pPr>
      <w:r w:rsidRPr="00620B08">
        <w:rPr>
          <w:rFonts w:ascii="Times New Roman" w:hAnsi="Times New Roman"/>
          <w:color w:val="000000"/>
          <w:sz w:val="22"/>
        </w:rPr>
        <w:br w:type="page"/>
      </w:r>
    </w:p>
    <w:p w:rsidR="00A06BC9" w:rsidRPr="00620B08" w:rsidRDefault="00A06BC9" w:rsidP="00B123A3">
      <w:pPr>
        <w:spacing w:line="480" w:lineRule="auto"/>
        <w:rPr>
          <w:rFonts w:ascii="Times New Roman" w:hAnsi="Times New Roman"/>
          <w:color w:val="000000"/>
          <w:sz w:val="22"/>
        </w:rPr>
      </w:pPr>
      <w:r w:rsidRPr="00930F59">
        <w:rPr>
          <w:rFonts w:ascii="Times New Roman" w:hAnsi="Times New Roman"/>
          <w:noProof/>
          <w:color w:val="000000"/>
          <w:sz w:val="22"/>
          <w:lang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図 1" o:spid="_x0000_i1025" type="#_x0000_t75" style="width:317.4pt;height:284.4pt;visibility:visible">
            <v:imagedata r:id="rId7" o:title=""/>
          </v:shape>
        </w:pict>
      </w:r>
    </w:p>
    <w:p w:rsidR="00A06BC9" w:rsidRPr="00620B08" w:rsidRDefault="00A06BC9" w:rsidP="00B123A3">
      <w:pPr>
        <w:spacing w:line="480" w:lineRule="auto"/>
        <w:rPr>
          <w:rFonts w:ascii="Times New Roman" w:hAnsi="Times New Roman"/>
          <w:color w:val="000000"/>
          <w:sz w:val="22"/>
        </w:rPr>
      </w:pPr>
    </w:p>
    <w:p w:rsidR="00A06BC9" w:rsidRPr="00620B08" w:rsidRDefault="00A06BC9" w:rsidP="00B123A3">
      <w:pPr>
        <w:spacing w:line="480" w:lineRule="auto"/>
        <w:rPr>
          <w:rFonts w:ascii="Times New Roman" w:hAnsi="Times New Roman"/>
          <w:b/>
          <w:color w:val="000000"/>
          <w:sz w:val="22"/>
        </w:rPr>
      </w:pPr>
      <w:r w:rsidRPr="00620B08">
        <w:rPr>
          <w:rFonts w:ascii="Times New Roman" w:hAnsi="Times New Roman"/>
          <w:b/>
          <w:color w:val="000000"/>
          <w:sz w:val="22"/>
        </w:rPr>
        <w:t>Figure S1</w:t>
      </w:r>
      <w:r>
        <w:rPr>
          <w:rFonts w:ascii="Times New Roman" w:hAnsi="Times New Roman"/>
          <w:b/>
          <w:color w:val="000000"/>
          <w:sz w:val="22"/>
        </w:rPr>
        <w:t>.</w:t>
      </w:r>
      <w:r w:rsidRPr="00620B08">
        <w:rPr>
          <w:rFonts w:ascii="Times New Roman" w:hAnsi="Times New Roman"/>
          <w:b/>
          <w:color w:val="000000"/>
          <w:sz w:val="22"/>
        </w:rPr>
        <w:t xml:space="preserve"> Estrogen-dependent reporter response of estrogen receptor constructs with and without Myc-tag to 17β-estradiol (E2).</w:t>
      </w:r>
    </w:p>
    <w:p w:rsidR="00A06BC9" w:rsidRPr="00620B08" w:rsidRDefault="00A06BC9" w:rsidP="00B123A3">
      <w:pPr>
        <w:spacing w:line="480" w:lineRule="auto"/>
        <w:rPr>
          <w:rFonts w:ascii="Times New Roman" w:eastAsia="MS PGothic" w:hAnsi="Times New Roman"/>
          <w:color w:val="000000"/>
          <w:kern w:val="0"/>
          <w:sz w:val="22"/>
        </w:rPr>
      </w:pPr>
      <w:r w:rsidRPr="00620B08">
        <w:rPr>
          <w:rFonts w:ascii="Times New Roman" w:hAnsi="Times New Roman"/>
          <w:color w:val="000000"/>
          <w:sz w:val="22"/>
        </w:rPr>
        <w:t xml:space="preserve">(A) Two transgene constructs were generated by inserting four copies of the estrogen response element sequence (4×ERE) before the </w:t>
      </w:r>
      <w:r w:rsidRPr="00620B08">
        <w:rPr>
          <w:rFonts w:ascii="Times New Roman" w:hAnsi="Times New Roman"/>
          <w:i/>
          <w:color w:val="000000"/>
          <w:sz w:val="22"/>
        </w:rPr>
        <w:t>luc2</w:t>
      </w:r>
      <w:r w:rsidRPr="00620B08">
        <w:rPr>
          <w:rFonts w:ascii="Times New Roman" w:hAnsi="Times New Roman"/>
          <w:color w:val="000000"/>
          <w:sz w:val="22"/>
        </w:rPr>
        <w:t xml:space="preserve"> gene, with or without Myc-tag, in the basic pGL4.23 luciferase vector containing the minimal promoter (mini P). (B) Human trophoblast choriocarcinoma JEG-3 cells were co-transfected with pGL4.23-4×ERE-MycLuc or pGL4.23-4×ERE-Luc vector and the ERα expression vector pSV-hERα. To normalize luciferase activity for transfection and harvesting efficiency, the </w:t>
      </w:r>
      <w:r w:rsidRPr="00620B08">
        <w:rPr>
          <w:rFonts w:ascii="Times New Roman" w:hAnsi="Times New Roman"/>
          <w:i/>
          <w:color w:val="000000"/>
          <w:sz w:val="22"/>
        </w:rPr>
        <w:t>Renilla</w:t>
      </w:r>
      <w:r w:rsidRPr="00620B08">
        <w:rPr>
          <w:rFonts w:ascii="Times New Roman" w:hAnsi="Times New Roman"/>
          <w:color w:val="000000"/>
          <w:sz w:val="22"/>
        </w:rPr>
        <w:t xml:space="preserve"> luciferase control reporter construct pRL-TK was also included in the co-transfection as an internal standard. After treatment with 0, 1, 10, or 100 nM </w:t>
      </w:r>
      <w:r w:rsidRPr="00620B08">
        <w:rPr>
          <w:rFonts w:ascii="Times New Roman" w:eastAsia="MS PGothic" w:hAnsi="Times New Roman"/>
          <w:color w:val="000000"/>
          <w:kern w:val="0"/>
          <w:sz w:val="22"/>
        </w:rPr>
        <w:t>E2, luciferase activity was measured with a luminometer. Data are presented as firefly/renilla luciferase activity ratio, and as mean ± S.D. (</w:t>
      </w:r>
      <w:r w:rsidRPr="00620B08">
        <w:rPr>
          <w:rFonts w:ascii="Times New Roman" w:eastAsia="MS PGothic" w:hAnsi="Times New Roman"/>
          <w:i/>
          <w:color w:val="000000"/>
          <w:kern w:val="0"/>
          <w:sz w:val="22"/>
        </w:rPr>
        <w:t>n</w:t>
      </w:r>
      <w:r w:rsidRPr="00620B08">
        <w:rPr>
          <w:rFonts w:ascii="Times New Roman" w:eastAsia="MS PGothic" w:hAnsi="Times New Roman"/>
          <w:color w:val="000000"/>
          <w:kern w:val="0"/>
          <w:sz w:val="22"/>
        </w:rPr>
        <w:t xml:space="preserve"> = 3).</w:t>
      </w:r>
    </w:p>
    <w:p w:rsidR="00A06BC9" w:rsidRPr="00620B08" w:rsidRDefault="00A06BC9">
      <w:pPr>
        <w:widowControl/>
        <w:jc w:val="left"/>
        <w:rPr>
          <w:rFonts w:ascii="Times New Roman" w:eastAsia="MS PGothic" w:hAnsi="Times New Roman"/>
          <w:color w:val="000000"/>
          <w:kern w:val="0"/>
          <w:sz w:val="22"/>
        </w:rPr>
      </w:pPr>
      <w:r w:rsidRPr="00620B08">
        <w:rPr>
          <w:rFonts w:ascii="Times New Roman" w:eastAsia="MS PGothic" w:hAnsi="Times New Roman"/>
          <w:color w:val="000000"/>
          <w:kern w:val="0"/>
          <w:sz w:val="22"/>
        </w:rPr>
        <w:br w:type="page"/>
      </w:r>
    </w:p>
    <w:p w:rsidR="00A06BC9" w:rsidRPr="00620B08" w:rsidRDefault="00A06BC9" w:rsidP="00B123A3">
      <w:pPr>
        <w:spacing w:line="480" w:lineRule="auto"/>
        <w:rPr>
          <w:rFonts w:ascii="Times New Roman" w:eastAsia="MS PGothic" w:hAnsi="Times New Roman"/>
          <w:color w:val="000000"/>
          <w:kern w:val="0"/>
          <w:sz w:val="22"/>
        </w:rPr>
      </w:pPr>
      <w:r w:rsidRPr="00930F59">
        <w:rPr>
          <w:rFonts w:ascii="Times New Roman" w:eastAsia="MS PGothic" w:hAnsi="Times New Roman"/>
          <w:noProof/>
          <w:color w:val="000000"/>
          <w:kern w:val="0"/>
          <w:sz w:val="22"/>
          <w:lang w:eastAsia="zh-CN"/>
        </w:rPr>
        <w:pict>
          <v:shape id="図 3" o:spid="_x0000_i1026" type="#_x0000_t75" style="width:415.8pt;height:254.4pt;visibility:visible">
            <v:imagedata r:id="rId8" o:title=""/>
          </v:shape>
        </w:pict>
      </w:r>
    </w:p>
    <w:p w:rsidR="00A06BC9" w:rsidRPr="00620B08" w:rsidRDefault="00A06BC9" w:rsidP="00B123A3">
      <w:pPr>
        <w:spacing w:line="480" w:lineRule="auto"/>
        <w:rPr>
          <w:rFonts w:ascii="Times New Roman" w:eastAsia="MS PGothic" w:hAnsi="Times New Roman"/>
          <w:b/>
          <w:bCs/>
          <w:color w:val="000000"/>
          <w:kern w:val="0"/>
          <w:sz w:val="22"/>
        </w:rPr>
      </w:pPr>
      <w:r w:rsidRPr="00620B08">
        <w:rPr>
          <w:rFonts w:ascii="Times New Roman" w:eastAsia="MS PGothic" w:hAnsi="Times New Roman"/>
          <w:b/>
          <w:bCs/>
          <w:color w:val="000000"/>
          <w:kern w:val="0"/>
          <w:sz w:val="22"/>
        </w:rPr>
        <w:t>Figure S2. Schematic diagram of experimental procedure.</w:t>
      </w:r>
    </w:p>
    <w:p w:rsidR="00A06BC9" w:rsidRPr="00620B08" w:rsidRDefault="00A06BC9" w:rsidP="00B123A3">
      <w:pPr>
        <w:spacing w:line="480" w:lineRule="auto"/>
        <w:rPr>
          <w:rFonts w:ascii="Times New Roman" w:eastAsia="MS PGothic" w:hAnsi="Times New Roman"/>
          <w:color w:val="000000"/>
          <w:kern w:val="0"/>
          <w:sz w:val="22"/>
        </w:rPr>
      </w:pPr>
      <w:r w:rsidRPr="00620B08">
        <w:rPr>
          <w:rFonts w:ascii="Times New Roman" w:eastAsia="MS PGothic" w:hAnsi="Times New Roman"/>
          <w:color w:val="000000"/>
          <w:kern w:val="0"/>
          <w:sz w:val="22"/>
        </w:rPr>
        <w:t>(A) Experimental procedure of E2 treatment for selection of E-Rep Tg mouse lines performed in Fig. 1B. (B) Experimental procedure of E2 treatment for immunohistochemistry performed in Fig. 1C. (C) Experimental procedure of E2 with or without ICI treatment performed in Fig. 2, 3, 5, and Table 1. (D) Experimental procedure of TCDD with or without E2 treatment performed in Fig. 3, 4, and 5. E2: 17β-estradiol (100 μg/kg/day), OVX: bilateral ovariectomy, IHC: immunohistochemistry, ICI: ICI182,780 (500 μg/kg/day), TCDD:</w:t>
      </w:r>
      <w:r w:rsidRPr="00620B08">
        <w:rPr>
          <w:rFonts w:ascii="Times New Roman" w:hAnsi="Times New Roman"/>
          <w:color w:val="000000"/>
          <w:sz w:val="22"/>
        </w:rPr>
        <w:t xml:space="preserve"> </w:t>
      </w:r>
      <w:r w:rsidRPr="00620B08">
        <w:rPr>
          <w:rFonts w:ascii="Times New Roman" w:eastAsia="MS PGothic" w:hAnsi="Times New Roman"/>
          <w:color w:val="000000"/>
          <w:kern w:val="0"/>
          <w:sz w:val="22"/>
        </w:rPr>
        <w:t>2,3,7,8-tetrachlorodibenzo-</w:t>
      </w:r>
      <w:r w:rsidRPr="00620B08">
        <w:rPr>
          <w:rFonts w:ascii="Times New Roman" w:eastAsia="MS PGothic" w:hAnsi="Times New Roman"/>
          <w:i/>
          <w:iCs/>
          <w:color w:val="000000"/>
          <w:kern w:val="0"/>
          <w:sz w:val="22"/>
        </w:rPr>
        <w:t>p</w:t>
      </w:r>
      <w:r w:rsidRPr="00620B08">
        <w:rPr>
          <w:rFonts w:ascii="Times New Roman" w:eastAsia="MS PGothic" w:hAnsi="Times New Roman"/>
          <w:color w:val="000000"/>
          <w:kern w:val="0"/>
          <w:sz w:val="22"/>
        </w:rPr>
        <w:t>-dioxin (30 μg/kg).</w:t>
      </w:r>
    </w:p>
    <w:p w:rsidR="00A06BC9" w:rsidRPr="00620B08" w:rsidRDefault="00A06BC9">
      <w:pPr>
        <w:widowControl/>
        <w:jc w:val="left"/>
        <w:rPr>
          <w:rFonts w:ascii="Times New Roman" w:eastAsia="MS PGothic" w:hAnsi="Times New Roman"/>
          <w:color w:val="000000"/>
          <w:kern w:val="0"/>
          <w:sz w:val="22"/>
        </w:rPr>
      </w:pPr>
      <w:r w:rsidRPr="00620B08">
        <w:rPr>
          <w:rFonts w:ascii="Times New Roman" w:eastAsia="MS PGothic" w:hAnsi="Times New Roman"/>
          <w:color w:val="000000"/>
          <w:kern w:val="0"/>
          <w:sz w:val="22"/>
        </w:rPr>
        <w:br w:type="page"/>
      </w:r>
    </w:p>
    <w:p w:rsidR="00A06BC9" w:rsidRPr="00620B08" w:rsidRDefault="00A06BC9" w:rsidP="00B123A3">
      <w:pPr>
        <w:spacing w:line="480" w:lineRule="auto"/>
        <w:rPr>
          <w:rFonts w:ascii="Times New Roman" w:eastAsia="MS PGothic" w:hAnsi="Times New Roman"/>
          <w:color w:val="000000"/>
          <w:kern w:val="0"/>
          <w:sz w:val="22"/>
        </w:rPr>
      </w:pPr>
      <w:r w:rsidRPr="00930F59">
        <w:rPr>
          <w:rFonts w:ascii="Times New Roman" w:eastAsia="MS PGothic" w:hAnsi="Times New Roman"/>
          <w:noProof/>
          <w:color w:val="000000"/>
          <w:kern w:val="0"/>
          <w:sz w:val="22"/>
          <w:lang w:eastAsia="zh-CN"/>
        </w:rPr>
        <w:pict>
          <v:shape id="図 4" o:spid="_x0000_i1027" type="#_x0000_t75" style="width:412.2pt;height:241.2pt;visibility:visible">
            <v:imagedata r:id="rId9" o:title=""/>
          </v:shape>
        </w:pict>
      </w:r>
    </w:p>
    <w:p w:rsidR="00A06BC9" w:rsidRPr="00966EE1" w:rsidRDefault="00A06BC9" w:rsidP="00966EE1">
      <w:pPr>
        <w:spacing w:line="480" w:lineRule="auto"/>
        <w:rPr>
          <w:rFonts w:ascii="Times New Roman" w:eastAsia="MS PGothic" w:hAnsi="Times New Roman"/>
          <w:b/>
          <w:bCs/>
          <w:color w:val="000000"/>
          <w:kern w:val="0"/>
          <w:sz w:val="22"/>
        </w:rPr>
      </w:pPr>
      <w:r w:rsidRPr="00966EE1">
        <w:rPr>
          <w:rFonts w:ascii="Times New Roman" w:eastAsia="MS PGothic" w:hAnsi="Times New Roman"/>
          <w:b/>
          <w:bCs/>
          <w:color w:val="000000"/>
          <w:kern w:val="0"/>
          <w:sz w:val="22"/>
        </w:rPr>
        <w:t>Figure S3. Non-specific luminescence in E-Rep Tg line-C and line-B mice after E2 treatment.</w:t>
      </w:r>
    </w:p>
    <w:p w:rsidR="00A06BC9" w:rsidRPr="00966EE1" w:rsidRDefault="00A06BC9" w:rsidP="00966EE1">
      <w:pPr>
        <w:spacing w:line="480" w:lineRule="auto"/>
        <w:ind w:firstLineChars="50" w:firstLine="110"/>
        <w:rPr>
          <w:rFonts w:ascii="Times New Roman" w:eastAsia="MS PGothic" w:hAnsi="Times New Roman"/>
          <w:color w:val="000000"/>
          <w:kern w:val="0"/>
          <w:sz w:val="22"/>
        </w:rPr>
      </w:pPr>
      <w:r w:rsidRPr="00966EE1">
        <w:rPr>
          <w:rFonts w:ascii="Times New Roman" w:eastAsia="MS PGothic" w:hAnsi="Times New Roman"/>
          <w:color w:val="000000"/>
          <w:kern w:val="0"/>
          <w:sz w:val="22"/>
        </w:rPr>
        <w:t>The non-specific luminescence ratio in the 100 μg/kg/day E2-treated E-Rep line-C mouse was calculated as the ratio of luminescence of the limbs (region of interest (ROI) 2 + ROI 3) to that of the center of the body (ROI 1), and that in an E2-treated E-Rep line-B mouse was calculated as the ratio of luminescence of the limbs (ROI 5 + ROI 6) to that of the center of the body (ROI 4). The image is the same as that in Fig. 1B.</w:t>
      </w:r>
    </w:p>
    <w:p w:rsidR="00A06BC9" w:rsidRPr="00620B08" w:rsidRDefault="00A06BC9" w:rsidP="00B123A3">
      <w:pPr>
        <w:spacing w:line="480" w:lineRule="auto"/>
        <w:rPr>
          <w:rFonts w:ascii="Times New Roman" w:eastAsia="MS PGothic" w:hAnsi="Times New Roman"/>
          <w:color w:val="000000"/>
          <w:kern w:val="0"/>
          <w:sz w:val="22"/>
        </w:rPr>
      </w:pPr>
    </w:p>
    <w:p w:rsidR="00A06BC9" w:rsidRPr="00620B08" w:rsidRDefault="00A06BC9" w:rsidP="00B123A3">
      <w:pPr>
        <w:spacing w:line="480" w:lineRule="auto"/>
        <w:rPr>
          <w:rFonts w:ascii="Times New Roman" w:eastAsia="MS PGothic" w:hAnsi="Times New Roman"/>
          <w:color w:val="000000"/>
          <w:kern w:val="0"/>
          <w:sz w:val="22"/>
        </w:rPr>
      </w:pPr>
    </w:p>
    <w:p w:rsidR="00A06BC9" w:rsidRPr="00620B08" w:rsidRDefault="00A06BC9" w:rsidP="00B123A3">
      <w:pPr>
        <w:spacing w:line="480" w:lineRule="auto"/>
        <w:rPr>
          <w:rFonts w:ascii="Times New Roman" w:eastAsia="MS PGothic" w:hAnsi="Times New Roman"/>
          <w:color w:val="000000"/>
          <w:kern w:val="0"/>
          <w:sz w:val="22"/>
        </w:rPr>
      </w:pPr>
    </w:p>
    <w:p w:rsidR="00A06BC9" w:rsidRPr="00620B08" w:rsidRDefault="00A06BC9">
      <w:pPr>
        <w:widowControl/>
        <w:jc w:val="left"/>
        <w:rPr>
          <w:rFonts w:ascii="Times New Roman" w:hAnsi="Times New Roman"/>
          <w:color w:val="000000"/>
          <w:sz w:val="22"/>
        </w:rPr>
      </w:pPr>
      <w:r w:rsidRPr="00620B08">
        <w:rPr>
          <w:rFonts w:ascii="Times New Roman" w:hAnsi="Times New Roman"/>
          <w:color w:val="000000"/>
          <w:sz w:val="22"/>
        </w:rPr>
        <w:br w:type="page"/>
      </w:r>
    </w:p>
    <w:p w:rsidR="00A06BC9" w:rsidRPr="00620B08" w:rsidRDefault="00A06BC9" w:rsidP="00B123A3">
      <w:pPr>
        <w:spacing w:line="480" w:lineRule="auto"/>
        <w:rPr>
          <w:rFonts w:ascii="Times New Roman" w:hAnsi="Times New Roman"/>
          <w:color w:val="000000"/>
          <w:sz w:val="22"/>
        </w:rPr>
      </w:pPr>
      <w:r w:rsidRPr="00930F59">
        <w:rPr>
          <w:rFonts w:ascii="Times New Roman" w:hAnsi="Times New Roman"/>
          <w:noProof/>
          <w:color w:val="000000"/>
          <w:sz w:val="22"/>
          <w:lang w:eastAsia="zh-CN"/>
        </w:rPr>
        <w:pict>
          <v:shape id="図 5" o:spid="_x0000_i1028" type="#_x0000_t75" style="width:413.4pt;height:363.6pt;visibility:visible">
            <v:imagedata r:id="rId10" o:title=""/>
          </v:shape>
        </w:pict>
      </w:r>
    </w:p>
    <w:p w:rsidR="00A06BC9" w:rsidRPr="00966EE1" w:rsidRDefault="00A06BC9" w:rsidP="00966EE1">
      <w:pPr>
        <w:spacing w:line="480" w:lineRule="auto"/>
        <w:rPr>
          <w:rFonts w:ascii="Times New Roman" w:hAnsi="Times New Roman"/>
          <w:b/>
          <w:bCs/>
          <w:color w:val="000000"/>
          <w:sz w:val="22"/>
        </w:rPr>
      </w:pPr>
      <w:r w:rsidRPr="00966EE1">
        <w:rPr>
          <w:rFonts w:ascii="Times New Roman" w:hAnsi="Times New Roman"/>
          <w:b/>
          <w:bCs/>
          <w:color w:val="000000"/>
          <w:sz w:val="22"/>
        </w:rPr>
        <w:t>Fig</w:t>
      </w:r>
      <w:r>
        <w:rPr>
          <w:rFonts w:ascii="Times New Roman" w:hAnsi="Times New Roman"/>
          <w:b/>
          <w:bCs/>
          <w:color w:val="000000"/>
          <w:sz w:val="22"/>
        </w:rPr>
        <w:t xml:space="preserve">ure </w:t>
      </w:r>
      <w:r w:rsidRPr="00966EE1">
        <w:rPr>
          <w:rFonts w:ascii="Times New Roman" w:hAnsi="Times New Roman"/>
          <w:b/>
          <w:bCs/>
          <w:color w:val="000000"/>
          <w:sz w:val="22"/>
        </w:rPr>
        <w:t>S4. Expression of AhR, ARNT, ERα, and ERβ mRNA in a female E-Rep Tg mouse.</w:t>
      </w:r>
    </w:p>
    <w:p w:rsidR="00A06BC9" w:rsidRPr="00966EE1" w:rsidRDefault="00A06BC9" w:rsidP="00966EE1">
      <w:pPr>
        <w:spacing w:line="480" w:lineRule="auto"/>
        <w:ind w:firstLineChars="50" w:firstLine="110"/>
        <w:rPr>
          <w:rFonts w:ascii="Times New Roman" w:hAnsi="Times New Roman"/>
          <w:color w:val="000000"/>
          <w:sz w:val="22"/>
        </w:rPr>
      </w:pPr>
      <w:r w:rsidRPr="00966EE1">
        <w:rPr>
          <w:rFonts w:ascii="Times New Roman" w:hAnsi="Times New Roman"/>
          <w:color w:val="000000"/>
          <w:sz w:val="22"/>
        </w:rPr>
        <w:t>Total RNA was extracted from samples of the 15 indicated tissues resected from a female E-Rep Tg mouse, and the mRNA expression of AhR (A), ARNT (B), ERα (C), and ERβ (D) was measured by quantitative real-time PCR (</w:t>
      </w:r>
      <w:r w:rsidRPr="00966EE1">
        <w:rPr>
          <w:rFonts w:ascii="Times New Roman" w:hAnsi="Times New Roman"/>
          <w:i/>
          <w:color w:val="000000"/>
          <w:sz w:val="22"/>
        </w:rPr>
        <w:t>n</w:t>
      </w:r>
      <w:r w:rsidRPr="00966EE1">
        <w:rPr>
          <w:rFonts w:ascii="Times New Roman" w:hAnsi="Times New Roman"/>
          <w:color w:val="000000"/>
          <w:sz w:val="22"/>
        </w:rPr>
        <w:t xml:space="preserve"> = 1). mRNA levels were corrected based on β-actin mRNA levels.</w:t>
      </w:r>
    </w:p>
    <w:p w:rsidR="00A06BC9" w:rsidRPr="00620B08" w:rsidRDefault="00A06BC9" w:rsidP="00B123A3">
      <w:pPr>
        <w:spacing w:line="480" w:lineRule="auto"/>
        <w:rPr>
          <w:rFonts w:ascii="Times New Roman" w:hAnsi="Times New Roman"/>
          <w:color w:val="000000"/>
          <w:sz w:val="22"/>
        </w:rPr>
      </w:pPr>
    </w:p>
    <w:p w:rsidR="00A06BC9" w:rsidRPr="00620B08" w:rsidRDefault="00A06BC9">
      <w:pPr>
        <w:widowControl/>
        <w:jc w:val="left"/>
        <w:rPr>
          <w:rFonts w:ascii="Times New Roman" w:hAnsi="Times New Roman"/>
          <w:color w:val="000000"/>
          <w:sz w:val="22"/>
        </w:rPr>
      </w:pPr>
      <w:r w:rsidRPr="00620B08">
        <w:rPr>
          <w:rFonts w:ascii="Times New Roman" w:hAnsi="Times New Roman"/>
          <w:color w:val="000000"/>
          <w:sz w:val="22"/>
        </w:rPr>
        <w:br w:type="page"/>
      </w:r>
    </w:p>
    <w:p w:rsidR="00A06BC9" w:rsidRPr="00620B08" w:rsidRDefault="00A06BC9" w:rsidP="00B123A3">
      <w:pPr>
        <w:spacing w:line="480" w:lineRule="auto"/>
        <w:rPr>
          <w:rFonts w:ascii="Times New Roman" w:hAnsi="Times New Roman"/>
          <w:color w:val="000000"/>
          <w:sz w:val="22"/>
        </w:rPr>
      </w:pPr>
      <w:r w:rsidRPr="00930F59">
        <w:rPr>
          <w:rFonts w:ascii="Times New Roman" w:hAnsi="Times New Roman"/>
          <w:noProof/>
          <w:color w:val="000000"/>
          <w:sz w:val="22"/>
          <w:lang w:eastAsia="zh-CN"/>
        </w:rPr>
        <w:pict>
          <v:shape id="図 7" o:spid="_x0000_i1029" type="#_x0000_t75" style="width:423pt;height:280.2pt;visibility:visible">
            <v:imagedata r:id="rId11" o:title=""/>
          </v:shape>
        </w:pict>
      </w:r>
    </w:p>
    <w:p w:rsidR="00A06BC9" w:rsidRPr="00966EE1" w:rsidRDefault="00A06BC9" w:rsidP="00B70E15">
      <w:pPr>
        <w:spacing w:line="480" w:lineRule="auto"/>
        <w:rPr>
          <w:rFonts w:ascii="Times New Roman" w:hAnsi="Times New Roman"/>
          <w:b/>
          <w:bCs/>
          <w:color w:val="000000"/>
          <w:sz w:val="22"/>
        </w:rPr>
      </w:pPr>
      <w:r w:rsidRPr="00966EE1">
        <w:rPr>
          <w:rFonts w:ascii="Times New Roman" w:hAnsi="Times New Roman"/>
          <w:b/>
          <w:bCs/>
          <w:color w:val="000000"/>
          <w:sz w:val="22"/>
        </w:rPr>
        <w:t>Figure S5. Effects of TCDD on the expression of CYP1A1 mRNA in the liver, kidney, uterus, and pituitary gland of ovariectomized female wild-type ICR mice.</w:t>
      </w:r>
    </w:p>
    <w:p w:rsidR="00A06BC9" w:rsidRPr="00966EE1" w:rsidRDefault="00A06BC9" w:rsidP="00966EE1">
      <w:pPr>
        <w:spacing w:line="480" w:lineRule="auto"/>
        <w:ind w:firstLineChars="50" w:firstLine="110"/>
        <w:rPr>
          <w:rFonts w:ascii="Times New Roman" w:hAnsi="Times New Roman"/>
          <w:color w:val="000000"/>
          <w:sz w:val="22"/>
        </w:rPr>
      </w:pPr>
      <w:r w:rsidRPr="00966EE1">
        <w:rPr>
          <w:rFonts w:ascii="Times New Roman" w:hAnsi="Times New Roman"/>
          <w:color w:val="000000"/>
          <w:sz w:val="22"/>
        </w:rPr>
        <w:t>Ovariectomized female wild-type ICR</w:t>
      </w:r>
      <w:bookmarkStart w:id="2" w:name="_GoBack"/>
      <w:bookmarkEnd w:id="2"/>
      <w:r w:rsidRPr="00966EE1">
        <w:rPr>
          <w:rFonts w:ascii="Times New Roman" w:hAnsi="Times New Roman"/>
          <w:color w:val="000000"/>
          <w:sz w:val="22"/>
        </w:rPr>
        <w:t xml:space="preserve"> mice were exposed to vehicle control, E2 (100 µg/kg/day) for 1 day, TCDD (30 µg/kg) for 1 day, or TCDD (30 µg/kg) in combination with E2 (100 µg/kg/day) for 1 day, and then total RNA was extracted from the liver, kidney, uterus, and pituitary gland. The expression of CYP1A1 mRNA was measured by quantitative real-time PCR. mRNA levels were corrected based on β-actin mRNA levels. The data are expressed as mean ± S.D. (</w:t>
      </w:r>
      <w:r w:rsidRPr="00966EE1">
        <w:rPr>
          <w:rFonts w:ascii="Times New Roman" w:hAnsi="Times New Roman"/>
          <w:i/>
          <w:color w:val="000000"/>
          <w:sz w:val="22"/>
        </w:rPr>
        <w:t>n</w:t>
      </w:r>
      <w:r w:rsidRPr="00966EE1">
        <w:rPr>
          <w:rFonts w:ascii="Times New Roman" w:hAnsi="Times New Roman"/>
          <w:color w:val="000000"/>
          <w:sz w:val="22"/>
        </w:rPr>
        <w:t xml:space="preserve"> = 4–6).</w:t>
      </w:r>
    </w:p>
    <w:p w:rsidR="00A06BC9" w:rsidRPr="00620B08" w:rsidRDefault="00A06BC9" w:rsidP="0066407C">
      <w:pPr>
        <w:spacing w:line="480" w:lineRule="auto"/>
        <w:ind w:firstLineChars="50" w:firstLine="110"/>
        <w:rPr>
          <w:rFonts w:ascii="Times New Roman" w:hAnsi="Times New Roman"/>
          <w:color w:val="000000"/>
          <w:sz w:val="22"/>
        </w:rPr>
      </w:pPr>
    </w:p>
    <w:p w:rsidR="00A06BC9" w:rsidRPr="00620B08" w:rsidRDefault="00A06BC9" w:rsidP="00B123A3">
      <w:pPr>
        <w:widowControl/>
        <w:spacing w:line="480" w:lineRule="auto"/>
        <w:jc w:val="left"/>
        <w:rPr>
          <w:rFonts w:ascii="Times New Roman" w:hAnsi="Times New Roman"/>
          <w:color w:val="000000"/>
          <w:sz w:val="22"/>
        </w:rPr>
      </w:pPr>
      <w:r w:rsidRPr="00620B08">
        <w:rPr>
          <w:rFonts w:ascii="Times New Roman" w:hAnsi="Times New Roman"/>
          <w:color w:val="000000"/>
          <w:sz w:val="22"/>
        </w:rPr>
        <w:br w:type="page"/>
        <w:t>Table S1. Primer sequences for RT PCR.</w:t>
      </w:r>
    </w:p>
    <w:tbl>
      <w:tblPr>
        <w:tblW w:w="8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843"/>
        <w:gridCol w:w="992"/>
        <w:gridCol w:w="3969"/>
        <w:gridCol w:w="1758"/>
      </w:tblGrid>
      <w:tr w:rsidR="00A06BC9" w:rsidRPr="00930F59" w:rsidTr="001B3A55">
        <w:trPr>
          <w:trHeight w:val="720"/>
        </w:trPr>
        <w:tc>
          <w:tcPr>
            <w:tcW w:w="1843" w:type="dxa"/>
            <w:tcBorders>
              <w:top w:val="single" w:sz="18" w:space="0" w:color="auto"/>
              <w:left w:val="nil"/>
              <w:right w:val="nil"/>
            </w:tcBorders>
          </w:tcPr>
          <w:p w:rsidR="00A06BC9" w:rsidRPr="00620B08" w:rsidRDefault="00A06BC9" w:rsidP="00B123A3">
            <w:pPr>
              <w:spacing w:line="360" w:lineRule="auto"/>
              <w:rPr>
                <w:rFonts w:ascii="Times New Roman" w:eastAsia="MS Mincho" w:hAnsi="Times New Roman"/>
                <w:color w:val="000000"/>
                <w:sz w:val="22"/>
              </w:rPr>
            </w:pPr>
            <w:r w:rsidRPr="00620B08">
              <w:rPr>
                <w:rFonts w:ascii="Times New Roman" w:eastAsia="MS Mincho" w:hAnsi="Times New Roman"/>
                <w:color w:val="000000"/>
                <w:sz w:val="22"/>
              </w:rPr>
              <w:t>Gene symbol</w:t>
            </w:r>
          </w:p>
          <w:p w:rsidR="00A06BC9" w:rsidRPr="00620B08" w:rsidRDefault="00A06BC9" w:rsidP="00B123A3">
            <w:pPr>
              <w:spacing w:line="360" w:lineRule="auto"/>
              <w:rPr>
                <w:rFonts w:ascii="Times New Roman" w:eastAsia="MS Mincho" w:hAnsi="Times New Roman"/>
                <w:color w:val="000000"/>
                <w:sz w:val="22"/>
              </w:rPr>
            </w:pPr>
            <w:r w:rsidRPr="00620B08">
              <w:rPr>
                <w:rFonts w:ascii="Times New Roman" w:eastAsia="MS Mincho" w:hAnsi="Times New Roman"/>
                <w:color w:val="000000"/>
                <w:sz w:val="22"/>
              </w:rPr>
              <w:t>(accession no.)</w:t>
            </w:r>
          </w:p>
        </w:tc>
        <w:tc>
          <w:tcPr>
            <w:tcW w:w="4961" w:type="dxa"/>
            <w:gridSpan w:val="2"/>
            <w:tcBorders>
              <w:top w:val="single" w:sz="18" w:space="0" w:color="auto"/>
              <w:left w:val="nil"/>
              <w:right w:val="nil"/>
            </w:tcBorders>
            <w:vAlign w:val="center"/>
          </w:tcPr>
          <w:p w:rsidR="00A06BC9" w:rsidRPr="00620B08" w:rsidRDefault="00A06BC9" w:rsidP="00B123A3">
            <w:pPr>
              <w:spacing w:line="360" w:lineRule="auto"/>
              <w:jc w:val="center"/>
              <w:rPr>
                <w:rFonts w:ascii="Times New Roman" w:eastAsia="MS Mincho" w:hAnsi="Times New Roman"/>
                <w:color w:val="000000"/>
                <w:sz w:val="22"/>
              </w:rPr>
            </w:pPr>
            <w:r w:rsidRPr="00620B08">
              <w:rPr>
                <w:rFonts w:ascii="Times New Roman" w:eastAsia="MS Mincho" w:hAnsi="Times New Roman"/>
                <w:color w:val="000000"/>
                <w:sz w:val="22"/>
              </w:rPr>
              <w:t>Primer sequence (5′ to 3′)</w:t>
            </w:r>
          </w:p>
        </w:tc>
        <w:tc>
          <w:tcPr>
            <w:tcW w:w="1758" w:type="dxa"/>
            <w:tcBorders>
              <w:top w:val="single" w:sz="18" w:space="0" w:color="auto"/>
              <w:left w:val="nil"/>
              <w:right w:val="nil"/>
            </w:tcBorders>
            <w:vAlign w:val="center"/>
          </w:tcPr>
          <w:p w:rsidR="00A06BC9" w:rsidRPr="00620B08" w:rsidRDefault="00A06BC9" w:rsidP="00B123A3">
            <w:pPr>
              <w:spacing w:line="360" w:lineRule="auto"/>
              <w:jc w:val="center"/>
              <w:rPr>
                <w:rFonts w:ascii="Times New Roman" w:eastAsia="MS Mincho" w:hAnsi="Times New Roman"/>
                <w:color w:val="000000"/>
                <w:sz w:val="22"/>
              </w:rPr>
            </w:pPr>
            <w:r w:rsidRPr="00620B08">
              <w:rPr>
                <w:rFonts w:ascii="Times New Roman" w:eastAsia="MS Mincho" w:hAnsi="Times New Roman"/>
                <w:color w:val="000000"/>
                <w:sz w:val="22"/>
              </w:rPr>
              <w:t>Product length (bp)</w:t>
            </w:r>
          </w:p>
        </w:tc>
      </w:tr>
      <w:tr w:rsidR="00A06BC9" w:rsidRPr="00930F59" w:rsidTr="001B3A55">
        <w:tc>
          <w:tcPr>
            <w:tcW w:w="1843" w:type="dxa"/>
            <w:tcBorders>
              <w:top w:val="single" w:sz="18" w:space="0" w:color="auto"/>
              <w:left w:val="nil"/>
              <w:bottom w:val="nil"/>
              <w:right w:val="nil"/>
            </w:tcBorders>
          </w:tcPr>
          <w:p w:rsidR="00A06BC9" w:rsidRPr="00620B08" w:rsidRDefault="00A06BC9" w:rsidP="00B123A3">
            <w:pPr>
              <w:spacing w:line="360" w:lineRule="auto"/>
              <w:rPr>
                <w:rFonts w:ascii="Times New Roman" w:eastAsia="MS Mincho" w:hAnsi="Times New Roman"/>
                <w:color w:val="000000"/>
                <w:sz w:val="22"/>
              </w:rPr>
            </w:pPr>
            <w:r w:rsidRPr="00620B08">
              <w:rPr>
                <w:rFonts w:ascii="Times New Roman" w:eastAsia="MS Mincho" w:hAnsi="Times New Roman"/>
                <w:color w:val="000000"/>
                <w:sz w:val="22"/>
              </w:rPr>
              <w:t>AhR</w:t>
            </w:r>
          </w:p>
        </w:tc>
        <w:tc>
          <w:tcPr>
            <w:tcW w:w="992" w:type="dxa"/>
            <w:tcBorders>
              <w:top w:val="single" w:sz="18" w:space="0" w:color="auto"/>
              <w:left w:val="nil"/>
              <w:bottom w:val="nil"/>
              <w:right w:val="nil"/>
            </w:tcBorders>
          </w:tcPr>
          <w:p w:rsidR="00A06BC9" w:rsidRPr="00620B08" w:rsidRDefault="00A06BC9" w:rsidP="00B123A3">
            <w:pPr>
              <w:spacing w:line="360" w:lineRule="auto"/>
              <w:rPr>
                <w:rFonts w:ascii="Times New Roman" w:eastAsia="MS Mincho" w:hAnsi="Times New Roman"/>
                <w:color w:val="000000"/>
                <w:sz w:val="22"/>
              </w:rPr>
            </w:pPr>
            <w:r w:rsidRPr="00620B08">
              <w:rPr>
                <w:rFonts w:ascii="Times New Roman" w:eastAsia="MS Mincho" w:hAnsi="Times New Roman"/>
                <w:color w:val="000000"/>
                <w:sz w:val="22"/>
              </w:rPr>
              <w:t>Forward</w:t>
            </w:r>
          </w:p>
        </w:tc>
        <w:tc>
          <w:tcPr>
            <w:tcW w:w="3969" w:type="dxa"/>
            <w:tcBorders>
              <w:top w:val="single" w:sz="18" w:space="0" w:color="auto"/>
              <w:left w:val="nil"/>
              <w:bottom w:val="nil"/>
              <w:right w:val="nil"/>
            </w:tcBorders>
          </w:tcPr>
          <w:p w:rsidR="00A06BC9" w:rsidRPr="00620B08" w:rsidRDefault="00A06BC9" w:rsidP="00B123A3">
            <w:pPr>
              <w:spacing w:line="360" w:lineRule="auto"/>
              <w:rPr>
                <w:rFonts w:ascii="Times New Roman" w:eastAsia="MS Mincho" w:hAnsi="Times New Roman"/>
                <w:color w:val="000000"/>
                <w:sz w:val="22"/>
                <w:highlight w:val="yellow"/>
              </w:rPr>
            </w:pPr>
            <w:r w:rsidRPr="00620B08">
              <w:rPr>
                <w:rFonts w:ascii="Times New Roman" w:eastAsia="MS Mincho" w:hAnsi="Times New Roman"/>
                <w:color w:val="000000"/>
                <w:sz w:val="22"/>
              </w:rPr>
              <w:t>CAGTCCAATGCACGCTTGAT</w:t>
            </w:r>
          </w:p>
        </w:tc>
        <w:tc>
          <w:tcPr>
            <w:tcW w:w="1758" w:type="dxa"/>
            <w:vMerge w:val="restart"/>
            <w:tcBorders>
              <w:top w:val="single" w:sz="18" w:space="0" w:color="auto"/>
              <w:left w:val="nil"/>
              <w:bottom w:val="nil"/>
              <w:right w:val="nil"/>
            </w:tcBorders>
          </w:tcPr>
          <w:p w:rsidR="00A06BC9" w:rsidRPr="00620B08" w:rsidRDefault="00A06BC9" w:rsidP="00B123A3">
            <w:pPr>
              <w:spacing w:before="200" w:line="360" w:lineRule="auto"/>
              <w:ind w:right="19"/>
              <w:jc w:val="center"/>
              <w:rPr>
                <w:rFonts w:ascii="Times New Roman" w:eastAsia="MS Mincho" w:hAnsi="Times New Roman"/>
                <w:color w:val="000000"/>
                <w:position w:val="6"/>
                <w:sz w:val="22"/>
              </w:rPr>
            </w:pPr>
            <w:r w:rsidRPr="00620B08">
              <w:rPr>
                <w:rFonts w:ascii="Times New Roman" w:eastAsia="MS Mincho" w:hAnsi="Times New Roman"/>
                <w:color w:val="000000"/>
                <w:position w:val="6"/>
                <w:sz w:val="22"/>
              </w:rPr>
              <w:t>91</w:t>
            </w:r>
          </w:p>
        </w:tc>
      </w:tr>
      <w:tr w:rsidR="00A06BC9" w:rsidRPr="00930F59" w:rsidTr="001B3A55">
        <w:tc>
          <w:tcPr>
            <w:tcW w:w="1843" w:type="dxa"/>
            <w:tcBorders>
              <w:top w:val="nil"/>
              <w:left w:val="nil"/>
              <w:bottom w:val="nil"/>
              <w:right w:val="nil"/>
            </w:tcBorders>
          </w:tcPr>
          <w:p w:rsidR="00A06BC9" w:rsidRPr="00620B08" w:rsidRDefault="00A06BC9" w:rsidP="00B123A3">
            <w:pPr>
              <w:spacing w:line="360" w:lineRule="auto"/>
              <w:rPr>
                <w:rFonts w:ascii="Times New Roman" w:eastAsia="MS Mincho" w:hAnsi="Times New Roman"/>
                <w:color w:val="000000"/>
                <w:sz w:val="22"/>
              </w:rPr>
            </w:pPr>
            <w:r w:rsidRPr="00620B08">
              <w:rPr>
                <w:rFonts w:ascii="Times New Roman" w:eastAsia="MS Mincho" w:hAnsi="Times New Roman"/>
                <w:color w:val="000000"/>
                <w:sz w:val="22"/>
              </w:rPr>
              <w:t>(NM_013464)</w:t>
            </w:r>
          </w:p>
        </w:tc>
        <w:tc>
          <w:tcPr>
            <w:tcW w:w="992" w:type="dxa"/>
            <w:tcBorders>
              <w:top w:val="nil"/>
              <w:left w:val="nil"/>
              <w:bottom w:val="nil"/>
              <w:right w:val="nil"/>
            </w:tcBorders>
          </w:tcPr>
          <w:p w:rsidR="00A06BC9" w:rsidRPr="00620B08" w:rsidRDefault="00A06BC9" w:rsidP="00B123A3">
            <w:pPr>
              <w:spacing w:line="360" w:lineRule="auto"/>
              <w:rPr>
                <w:rFonts w:ascii="Times New Roman" w:eastAsia="MS Mincho" w:hAnsi="Times New Roman"/>
                <w:color w:val="000000"/>
                <w:sz w:val="22"/>
              </w:rPr>
            </w:pPr>
            <w:r w:rsidRPr="00620B08">
              <w:rPr>
                <w:rFonts w:ascii="Times New Roman" w:eastAsia="MS Mincho" w:hAnsi="Times New Roman"/>
                <w:color w:val="000000"/>
                <w:sz w:val="22"/>
              </w:rPr>
              <w:t>Reverse</w:t>
            </w:r>
          </w:p>
        </w:tc>
        <w:tc>
          <w:tcPr>
            <w:tcW w:w="3969" w:type="dxa"/>
            <w:tcBorders>
              <w:top w:val="nil"/>
              <w:left w:val="nil"/>
              <w:bottom w:val="nil"/>
              <w:right w:val="nil"/>
            </w:tcBorders>
          </w:tcPr>
          <w:p w:rsidR="00A06BC9" w:rsidRPr="00620B08" w:rsidRDefault="00A06BC9" w:rsidP="00B123A3">
            <w:pPr>
              <w:spacing w:line="360" w:lineRule="auto"/>
              <w:rPr>
                <w:rFonts w:ascii="Times New Roman" w:eastAsia="MS Mincho" w:hAnsi="Times New Roman"/>
                <w:color w:val="000000"/>
                <w:sz w:val="22"/>
                <w:highlight w:val="yellow"/>
              </w:rPr>
            </w:pPr>
            <w:r w:rsidRPr="00620B08">
              <w:rPr>
                <w:rFonts w:ascii="Times New Roman" w:eastAsia="MS Mincho" w:hAnsi="Times New Roman"/>
                <w:color w:val="000000"/>
                <w:sz w:val="22"/>
              </w:rPr>
              <w:t>GCTCTCGTCCTTCTTCATC</w:t>
            </w:r>
          </w:p>
        </w:tc>
        <w:tc>
          <w:tcPr>
            <w:tcW w:w="1758" w:type="dxa"/>
            <w:vMerge/>
            <w:tcBorders>
              <w:top w:val="nil"/>
              <w:left w:val="nil"/>
              <w:bottom w:val="nil"/>
              <w:right w:val="nil"/>
            </w:tcBorders>
          </w:tcPr>
          <w:p w:rsidR="00A06BC9" w:rsidRPr="00620B08" w:rsidRDefault="00A06BC9" w:rsidP="00B123A3">
            <w:pPr>
              <w:spacing w:line="360" w:lineRule="auto"/>
              <w:rPr>
                <w:rFonts w:ascii="Times New Roman" w:eastAsia="MS Mincho" w:hAnsi="Times New Roman"/>
                <w:color w:val="000000"/>
                <w:sz w:val="22"/>
              </w:rPr>
            </w:pPr>
          </w:p>
        </w:tc>
      </w:tr>
      <w:tr w:rsidR="00A06BC9" w:rsidRPr="00930F59" w:rsidTr="001B3A55">
        <w:tblPrEx>
          <w:tblLook w:val="01E0"/>
        </w:tblPrEx>
        <w:tc>
          <w:tcPr>
            <w:tcW w:w="1843" w:type="dxa"/>
            <w:tcBorders>
              <w:top w:val="nil"/>
              <w:left w:val="nil"/>
              <w:bottom w:val="nil"/>
              <w:right w:val="nil"/>
            </w:tcBorders>
          </w:tcPr>
          <w:p w:rsidR="00A06BC9" w:rsidRPr="00620B08" w:rsidRDefault="00A06BC9" w:rsidP="00B123A3">
            <w:pPr>
              <w:spacing w:line="360" w:lineRule="auto"/>
              <w:rPr>
                <w:rFonts w:ascii="Times New Roman" w:eastAsia="MS Mincho" w:hAnsi="Times New Roman"/>
                <w:color w:val="000000"/>
                <w:sz w:val="22"/>
              </w:rPr>
            </w:pPr>
            <w:r w:rsidRPr="00620B08">
              <w:rPr>
                <w:rFonts w:ascii="Times New Roman" w:eastAsia="MS Mincho" w:hAnsi="Times New Roman"/>
                <w:color w:val="000000"/>
                <w:sz w:val="22"/>
              </w:rPr>
              <w:t>ARNT</w:t>
            </w:r>
          </w:p>
        </w:tc>
        <w:tc>
          <w:tcPr>
            <w:tcW w:w="992" w:type="dxa"/>
            <w:tcBorders>
              <w:top w:val="nil"/>
              <w:left w:val="nil"/>
              <w:bottom w:val="nil"/>
              <w:right w:val="nil"/>
            </w:tcBorders>
          </w:tcPr>
          <w:p w:rsidR="00A06BC9" w:rsidRPr="00620B08" w:rsidRDefault="00A06BC9" w:rsidP="00B123A3">
            <w:pPr>
              <w:spacing w:line="360" w:lineRule="auto"/>
              <w:rPr>
                <w:rFonts w:ascii="Times New Roman" w:eastAsia="MS Mincho" w:hAnsi="Times New Roman"/>
                <w:color w:val="000000"/>
                <w:sz w:val="22"/>
              </w:rPr>
            </w:pPr>
            <w:r w:rsidRPr="00620B08">
              <w:rPr>
                <w:rFonts w:ascii="Times New Roman" w:eastAsia="MS Mincho" w:hAnsi="Times New Roman"/>
                <w:color w:val="000000"/>
                <w:sz w:val="22"/>
              </w:rPr>
              <w:t>Forward</w:t>
            </w:r>
          </w:p>
        </w:tc>
        <w:tc>
          <w:tcPr>
            <w:tcW w:w="3969" w:type="dxa"/>
            <w:tcBorders>
              <w:top w:val="nil"/>
              <w:left w:val="nil"/>
              <w:bottom w:val="nil"/>
              <w:right w:val="nil"/>
            </w:tcBorders>
          </w:tcPr>
          <w:p w:rsidR="00A06BC9" w:rsidRPr="00620B08" w:rsidRDefault="00A06BC9" w:rsidP="00B123A3">
            <w:pPr>
              <w:spacing w:line="360" w:lineRule="auto"/>
              <w:rPr>
                <w:rFonts w:ascii="Times New Roman" w:eastAsia="MS Mincho" w:hAnsi="Times New Roman"/>
                <w:color w:val="000000"/>
                <w:sz w:val="22"/>
                <w:highlight w:val="yellow"/>
              </w:rPr>
            </w:pPr>
            <w:r w:rsidRPr="00620B08">
              <w:rPr>
                <w:rFonts w:ascii="Times New Roman" w:eastAsia="MS Mincho" w:hAnsi="Times New Roman"/>
                <w:color w:val="000000"/>
                <w:sz w:val="22"/>
              </w:rPr>
              <w:t>CCAGATTTCACGTCACTCCAA</w:t>
            </w:r>
          </w:p>
        </w:tc>
        <w:tc>
          <w:tcPr>
            <w:tcW w:w="1758" w:type="dxa"/>
            <w:vMerge w:val="restart"/>
            <w:tcBorders>
              <w:top w:val="nil"/>
              <w:left w:val="nil"/>
              <w:bottom w:val="nil"/>
              <w:right w:val="nil"/>
            </w:tcBorders>
            <w:vAlign w:val="center"/>
          </w:tcPr>
          <w:p w:rsidR="00A06BC9" w:rsidRPr="00620B08" w:rsidRDefault="00A06BC9" w:rsidP="00B123A3">
            <w:pPr>
              <w:spacing w:line="360" w:lineRule="auto"/>
              <w:jc w:val="center"/>
              <w:rPr>
                <w:rFonts w:ascii="Times New Roman" w:eastAsia="MS Mincho" w:hAnsi="Times New Roman"/>
                <w:color w:val="000000"/>
                <w:sz w:val="22"/>
              </w:rPr>
            </w:pPr>
            <w:r w:rsidRPr="00620B08">
              <w:rPr>
                <w:rFonts w:ascii="Times New Roman" w:eastAsia="MS Mincho" w:hAnsi="Times New Roman"/>
                <w:color w:val="000000"/>
                <w:sz w:val="22"/>
              </w:rPr>
              <w:t>120</w:t>
            </w:r>
          </w:p>
        </w:tc>
      </w:tr>
      <w:tr w:rsidR="00A06BC9" w:rsidRPr="00930F59" w:rsidTr="001B3A55">
        <w:tblPrEx>
          <w:tblLook w:val="01E0"/>
        </w:tblPrEx>
        <w:tc>
          <w:tcPr>
            <w:tcW w:w="1843" w:type="dxa"/>
            <w:tcBorders>
              <w:top w:val="nil"/>
              <w:left w:val="nil"/>
              <w:bottom w:val="nil"/>
              <w:right w:val="nil"/>
            </w:tcBorders>
          </w:tcPr>
          <w:p w:rsidR="00A06BC9" w:rsidRPr="00620B08" w:rsidRDefault="00A06BC9" w:rsidP="00B123A3">
            <w:pPr>
              <w:spacing w:line="360" w:lineRule="auto"/>
              <w:rPr>
                <w:rFonts w:ascii="Times New Roman" w:eastAsia="MS Mincho" w:hAnsi="Times New Roman"/>
                <w:color w:val="000000"/>
                <w:sz w:val="22"/>
              </w:rPr>
            </w:pPr>
            <w:r w:rsidRPr="00620B08">
              <w:rPr>
                <w:rFonts w:ascii="Times New Roman" w:eastAsia="MS Mincho" w:hAnsi="Times New Roman"/>
                <w:color w:val="000000"/>
                <w:sz w:val="22"/>
              </w:rPr>
              <w:t>(NM_001037737)</w:t>
            </w:r>
          </w:p>
        </w:tc>
        <w:tc>
          <w:tcPr>
            <w:tcW w:w="992" w:type="dxa"/>
            <w:tcBorders>
              <w:top w:val="nil"/>
              <w:left w:val="nil"/>
              <w:bottom w:val="nil"/>
              <w:right w:val="nil"/>
            </w:tcBorders>
          </w:tcPr>
          <w:p w:rsidR="00A06BC9" w:rsidRPr="00620B08" w:rsidRDefault="00A06BC9" w:rsidP="00B123A3">
            <w:pPr>
              <w:spacing w:line="360" w:lineRule="auto"/>
              <w:rPr>
                <w:rFonts w:ascii="Times New Roman" w:eastAsia="MS Mincho" w:hAnsi="Times New Roman"/>
                <w:color w:val="000000"/>
                <w:sz w:val="22"/>
              </w:rPr>
            </w:pPr>
            <w:r w:rsidRPr="00620B08">
              <w:rPr>
                <w:rFonts w:ascii="Times New Roman" w:eastAsia="MS Mincho" w:hAnsi="Times New Roman"/>
                <w:color w:val="000000"/>
                <w:sz w:val="22"/>
              </w:rPr>
              <w:t>Reverse</w:t>
            </w:r>
          </w:p>
        </w:tc>
        <w:tc>
          <w:tcPr>
            <w:tcW w:w="3969" w:type="dxa"/>
            <w:tcBorders>
              <w:top w:val="nil"/>
              <w:left w:val="nil"/>
              <w:bottom w:val="nil"/>
              <w:right w:val="nil"/>
            </w:tcBorders>
          </w:tcPr>
          <w:p w:rsidR="00A06BC9" w:rsidRPr="00620B08" w:rsidRDefault="00A06BC9" w:rsidP="00B123A3">
            <w:pPr>
              <w:spacing w:line="360" w:lineRule="auto"/>
              <w:rPr>
                <w:rFonts w:ascii="Times New Roman" w:eastAsia="MS Mincho" w:hAnsi="Times New Roman"/>
                <w:color w:val="000000"/>
                <w:sz w:val="22"/>
                <w:highlight w:val="yellow"/>
              </w:rPr>
            </w:pPr>
            <w:r w:rsidRPr="00620B08">
              <w:rPr>
                <w:rFonts w:ascii="Times New Roman" w:eastAsia="MS Mincho" w:hAnsi="Times New Roman"/>
                <w:color w:val="000000"/>
                <w:sz w:val="22"/>
              </w:rPr>
              <w:t>GAAGAACGAGTCTTGGCTGTA</w:t>
            </w:r>
          </w:p>
        </w:tc>
        <w:tc>
          <w:tcPr>
            <w:tcW w:w="1758" w:type="dxa"/>
            <w:vMerge/>
            <w:tcBorders>
              <w:top w:val="nil"/>
              <w:left w:val="nil"/>
              <w:bottom w:val="nil"/>
              <w:right w:val="nil"/>
            </w:tcBorders>
          </w:tcPr>
          <w:p w:rsidR="00A06BC9" w:rsidRPr="00620B08" w:rsidRDefault="00A06BC9" w:rsidP="00B123A3">
            <w:pPr>
              <w:spacing w:line="360" w:lineRule="auto"/>
              <w:rPr>
                <w:rFonts w:ascii="Times New Roman" w:eastAsia="MS Mincho" w:hAnsi="Times New Roman"/>
                <w:color w:val="000000"/>
                <w:sz w:val="22"/>
              </w:rPr>
            </w:pPr>
          </w:p>
        </w:tc>
      </w:tr>
      <w:tr w:rsidR="00A06BC9" w:rsidRPr="00930F59" w:rsidTr="001B3A55">
        <w:tblPrEx>
          <w:tblLook w:val="01E0"/>
        </w:tblPrEx>
        <w:tc>
          <w:tcPr>
            <w:tcW w:w="1843" w:type="dxa"/>
            <w:tcBorders>
              <w:top w:val="nil"/>
              <w:left w:val="nil"/>
              <w:bottom w:val="nil"/>
              <w:right w:val="nil"/>
            </w:tcBorders>
          </w:tcPr>
          <w:p w:rsidR="00A06BC9" w:rsidRPr="00620B08" w:rsidRDefault="00A06BC9" w:rsidP="00B123A3">
            <w:pPr>
              <w:spacing w:line="360" w:lineRule="auto"/>
              <w:rPr>
                <w:rFonts w:ascii="Times New Roman" w:eastAsia="MS Mincho" w:hAnsi="Times New Roman"/>
                <w:color w:val="000000"/>
                <w:sz w:val="22"/>
              </w:rPr>
            </w:pPr>
            <w:r w:rsidRPr="00620B08">
              <w:rPr>
                <w:rFonts w:ascii="Times New Roman" w:eastAsia="MS Mincho" w:hAnsi="Times New Roman"/>
                <w:color w:val="000000"/>
                <w:sz w:val="22"/>
              </w:rPr>
              <w:t>ERα</w:t>
            </w:r>
          </w:p>
        </w:tc>
        <w:tc>
          <w:tcPr>
            <w:tcW w:w="992" w:type="dxa"/>
            <w:tcBorders>
              <w:top w:val="nil"/>
              <w:left w:val="nil"/>
              <w:bottom w:val="nil"/>
              <w:right w:val="nil"/>
            </w:tcBorders>
          </w:tcPr>
          <w:p w:rsidR="00A06BC9" w:rsidRPr="00620B08" w:rsidRDefault="00A06BC9" w:rsidP="00B123A3">
            <w:pPr>
              <w:spacing w:line="360" w:lineRule="auto"/>
              <w:rPr>
                <w:rFonts w:ascii="Times New Roman" w:eastAsia="MS Mincho" w:hAnsi="Times New Roman"/>
                <w:color w:val="000000"/>
                <w:sz w:val="22"/>
              </w:rPr>
            </w:pPr>
            <w:r w:rsidRPr="00620B08">
              <w:rPr>
                <w:rFonts w:ascii="Times New Roman" w:eastAsia="MS Mincho" w:hAnsi="Times New Roman"/>
                <w:color w:val="000000"/>
                <w:sz w:val="22"/>
              </w:rPr>
              <w:t>Forward</w:t>
            </w:r>
          </w:p>
        </w:tc>
        <w:tc>
          <w:tcPr>
            <w:tcW w:w="3969" w:type="dxa"/>
            <w:tcBorders>
              <w:top w:val="nil"/>
              <w:left w:val="nil"/>
              <w:bottom w:val="nil"/>
              <w:right w:val="nil"/>
            </w:tcBorders>
          </w:tcPr>
          <w:p w:rsidR="00A06BC9" w:rsidRPr="00620B08" w:rsidRDefault="00A06BC9" w:rsidP="00B123A3">
            <w:pPr>
              <w:spacing w:line="360" w:lineRule="auto"/>
              <w:rPr>
                <w:rFonts w:ascii="Times New Roman" w:eastAsia="MS Mincho" w:hAnsi="Times New Roman"/>
                <w:color w:val="000000"/>
                <w:sz w:val="22"/>
                <w:highlight w:val="yellow"/>
              </w:rPr>
            </w:pPr>
            <w:r w:rsidRPr="00620B08">
              <w:rPr>
                <w:rFonts w:ascii="Times New Roman" w:eastAsia="MS Mincho" w:hAnsi="Times New Roman"/>
                <w:color w:val="000000"/>
                <w:sz w:val="22"/>
              </w:rPr>
              <w:t>GTGCCCTACTACCTGGAGAACGA</w:t>
            </w:r>
          </w:p>
        </w:tc>
        <w:tc>
          <w:tcPr>
            <w:tcW w:w="1758" w:type="dxa"/>
            <w:vMerge w:val="restart"/>
            <w:tcBorders>
              <w:top w:val="nil"/>
              <w:left w:val="nil"/>
              <w:bottom w:val="nil"/>
              <w:right w:val="nil"/>
            </w:tcBorders>
            <w:vAlign w:val="center"/>
          </w:tcPr>
          <w:p w:rsidR="00A06BC9" w:rsidRPr="00620B08" w:rsidRDefault="00A06BC9" w:rsidP="00B123A3">
            <w:pPr>
              <w:spacing w:line="360" w:lineRule="auto"/>
              <w:jc w:val="center"/>
              <w:rPr>
                <w:rFonts w:ascii="Times New Roman" w:eastAsia="MS Mincho" w:hAnsi="Times New Roman"/>
                <w:color w:val="000000"/>
                <w:sz w:val="22"/>
              </w:rPr>
            </w:pPr>
            <w:r w:rsidRPr="00620B08">
              <w:rPr>
                <w:rFonts w:ascii="Times New Roman" w:eastAsia="MS Mincho" w:hAnsi="Times New Roman"/>
                <w:color w:val="000000"/>
                <w:sz w:val="22"/>
              </w:rPr>
              <w:t>101</w:t>
            </w:r>
          </w:p>
        </w:tc>
      </w:tr>
      <w:tr w:rsidR="00A06BC9" w:rsidRPr="00930F59" w:rsidTr="001B3A55">
        <w:tblPrEx>
          <w:tblLook w:val="01E0"/>
        </w:tblPrEx>
        <w:tc>
          <w:tcPr>
            <w:tcW w:w="1843" w:type="dxa"/>
            <w:tcBorders>
              <w:top w:val="nil"/>
              <w:left w:val="nil"/>
              <w:bottom w:val="nil"/>
              <w:right w:val="nil"/>
            </w:tcBorders>
          </w:tcPr>
          <w:p w:rsidR="00A06BC9" w:rsidRPr="00620B08" w:rsidRDefault="00A06BC9" w:rsidP="00B123A3">
            <w:pPr>
              <w:spacing w:line="360" w:lineRule="auto"/>
              <w:rPr>
                <w:rFonts w:ascii="Times New Roman" w:eastAsia="MS Mincho" w:hAnsi="Times New Roman"/>
                <w:color w:val="000000"/>
                <w:sz w:val="22"/>
              </w:rPr>
            </w:pPr>
            <w:r w:rsidRPr="00620B08">
              <w:rPr>
                <w:rFonts w:ascii="Times New Roman" w:eastAsia="MS Mincho" w:hAnsi="Times New Roman"/>
                <w:color w:val="000000"/>
                <w:sz w:val="22"/>
              </w:rPr>
              <w:t>(NM_007956)</w:t>
            </w:r>
          </w:p>
        </w:tc>
        <w:tc>
          <w:tcPr>
            <w:tcW w:w="992" w:type="dxa"/>
            <w:tcBorders>
              <w:top w:val="nil"/>
              <w:left w:val="nil"/>
              <w:bottom w:val="nil"/>
              <w:right w:val="nil"/>
            </w:tcBorders>
          </w:tcPr>
          <w:p w:rsidR="00A06BC9" w:rsidRPr="00620B08" w:rsidRDefault="00A06BC9" w:rsidP="00B123A3">
            <w:pPr>
              <w:spacing w:line="360" w:lineRule="auto"/>
              <w:rPr>
                <w:rFonts w:ascii="Times New Roman" w:eastAsia="MS Mincho" w:hAnsi="Times New Roman"/>
                <w:color w:val="000000"/>
                <w:sz w:val="22"/>
              </w:rPr>
            </w:pPr>
            <w:r w:rsidRPr="00620B08">
              <w:rPr>
                <w:rFonts w:ascii="Times New Roman" w:eastAsia="MS Mincho" w:hAnsi="Times New Roman"/>
                <w:color w:val="000000"/>
                <w:sz w:val="22"/>
              </w:rPr>
              <w:t>Reverse</w:t>
            </w:r>
          </w:p>
        </w:tc>
        <w:tc>
          <w:tcPr>
            <w:tcW w:w="3969" w:type="dxa"/>
            <w:tcBorders>
              <w:top w:val="nil"/>
              <w:left w:val="nil"/>
              <w:bottom w:val="nil"/>
              <w:right w:val="nil"/>
            </w:tcBorders>
          </w:tcPr>
          <w:p w:rsidR="00A06BC9" w:rsidRPr="00620B08" w:rsidRDefault="00A06BC9" w:rsidP="00B123A3">
            <w:pPr>
              <w:spacing w:line="360" w:lineRule="auto"/>
              <w:rPr>
                <w:rFonts w:ascii="Times New Roman" w:eastAsia="MS Mincho" w:hAnsi="Times New Roman"/>
                <w:color w:val="000000"/>
                <w:sz w:val="22"/>
                <w:highlight w:val="yellow"/>
              </w:rPr>
            </w:pPr>
            <w:r w:rsidRPr="00620B08">
              <w:rPr>
                <w:rFonts w:ascii="Times New Roman" w:eastAsia="MS Mincho" w:hAnsi="Times New Roman"/>
                <w:color w:val="000000"/>
                <w:sz w:val="22"/>
              </w:rPr>
              <w:t>CCATTCTGGCGTCGATTGTCAGA</w:t>
            </w:r>
          </w:p>
        </w:tc>
        <w:tc>
          <w:tcPr>
            <w:tcW w:w="1758" w:type="dxa"/>
            <w:vMerge/>
            <w:tcBorders>
              <w:top w:val="nil"/>
              <w:left w:val="nil"/>
              <w:bottom w:val="nil"/>
              <w:right w:val="nil"/>
            </w:tcBorders>
          </w:tcPr>
          <w:p w:rsidR="00A06BC9" w:rsidRPr="00620B08" w:rsidRDefault="00A06BC9" w:rsidP="00B123A3">
            <w:pPr>
              <w:spacing w:line="360" w:lineRule="auto"/>
              <w:jc w:val="center"/>
              <w:rPr>
                <w:rFonts w:ascii="Times New Roman" w:eastAsia="MS Mincho" w:hAnsi="Times New Roman"/>
                <w:color w:val="000000"/>
                <w:sz w:val="22"/>
              </w:rPr>
            </w:pPr>
          </w:p>
        </w:tc>
      </w:tr>
      <w:tr w:rsidR="00A06BC9" w:rsidRPr="00930F59" w:rsidTr="001B3A55">
        <w:tblPrEx>
          <w:tblLook w:val="01E0"/>
        </w:tblPrEx>
        <w:tc>
          <w:tcPr>
            <w:tcW w:w="1843" w:type="dxa"/>
            <w:tcBorders>
              <w:top w:val="nil"/>
              <w:left w:val="nil"/>
              <w:bottom w:val="nil"/>
              <w:right w:val="nil"/>
            </w:tcBorders>
          </w:tcPr>
          <w:p w:rsidR="00A06BC9" w:rsidRPr="00620B08" w:rsidRDefault="00A06BC9" w:rsidP="00B123A3">
            <w:pPr>
              <w:spacing w:line="360" w:lineRule="auto"/>
              <w:rPr>
                <w:rFonts w:ascii="Times New Roman" w:eastAsia="MS Mincho" w:hAnsi="Times New Roman"/>
                <w:color w:val="000000"/>
                <w:sz w:val="22"/>
              </w:rPr>
            </w:pPr>
            <w:r w:rsidRPr="00620B08">
              <w:rPr>
                <w:rFonts w:ascii="Times New Roman" w:eastAsia="MS Mincho" w:hAnsi="Times New Roman"/>
                <w:color w:val="000000"/>
                <w:sz w:val="22"/>
              </w:rPr>
              <w:t>ERβ</w:t>
            </w:r>
          </w:p>
        </w:tc>
        <w:tc>
          <w:tcPr>
            <w:tcW w:w="992" w:type="dxa"/>
            <w:tcBorders>
              <w:top w:val="nil"/>
              <w:left w:val="nil"/>
              <w:bottom w:val="nil"/>
              <w:right w:val="nil"/>
            </w:tcBorders>
          </w:tcPr>
          <w:p w:rsidR="00A06BC9" w:rsidRPr="00620B08" w:rsidRDefault="00A06BC9" w:rsidP="00B123A3">
            <w:pPr>
              <w:spacing w:line="360" w:lineRule="auto"/>
              <w:rPr>
                <w:rFonts w:ascii="Times New Roman" w:eastAsia="MS Mincho" w:hAnsi="Times New Roman"/>
                <w:color w:val="000000"/>
                <w:sz w:val="22"/>
              </w:rPr>
            </w:pPr>
            <w:r w:rsidRPr="00620B08">
              <w:rPr>
                <w:rFonts w:ascii="Times New Roman" w:eastAsia="MS Mincho" w:hAnsi="Times New Roman"/>
                <w:color w:val="000000"/>
                <w:sz w:val="22"/>
              </w:rPr>
              <w:t>Forward</w:t>
            </w:r>
          </w:p>
        </w:tc>
        <w:tc>
          <w:tcPr>
            <w:tcW w:w="3969" w:type="dxa"/>
            <w:tcBorders>
              <w:top w:val="nil"/>
              <w:left w:val="nil"/>
              <w:bottom w:val="nil"/>
              <w:right w:val="nil"/>
            </w:tcBorders>
          </w:tcPr>
          <w:p w:rsidR="00A06BC9" w:rsidRPr="00620B08" w:rsidRDefault="00A06BC9" w:rsidP="00B123A3">
            <w:pPr>
              <w:spacing w:line="360" w:lineRule="auto"/>
              <w:rPr>
                <w:rFonts w:ascii="Times New Roman" w:eastAsia="MS Mincho" w:hAnsi="Times New Roman"/>
                <w:color w:val="000000"/>
                <w:sz w:val="22"/>
                <w:highlight w:val="yellow"/>
              </w:rPr>
            </w:pPr>
            <w:r w:rsidRPr="00620B08">
              <w:rPr>
                <w:rFonts w:ascii="Times New Roman" w:eastAsia="MS Mincho" w:hAnsi="Times New Roman"/>
                <w:color w:val="000000"/>
                <w:sz w:val="22"/>
              </w:rPr>
              <w:t>AGGGATTCTGGAAATCTTTGAC</w:t>
            </w:r>
          </w:p>
        </w:tc>
        <w:tc>
          <w:tcPr>
            <w:tcW w:w="1758" w:type="dxa"/>
            <w:vMerge w:val="restart"/>
            <w:tcBorders>
              <w:top w:val="nil"/>
              <w:left w:val="nil"/>
              <w:bottom w:val="nil"/>
              <w:right w:val="nil"/>
            </w:tcBorders>
            <w:vAlign w:val="center"/>
          </w:tcPr>
          <w:p w:rsidR="00A06BC9" w:rsidRPr="00620B08" w:rsidRDefault="00A06BC9" w:rsidP="00B123A3">
            <w:pPr>
              <w:spacing w:line="360" w:lineRule="auto"/>
              <w:jc w:val="center"/>
              <w:rPr>
                <w:rFonts w:ascii="Times New Roman" w:eastAsia="MS Mincho" w:hAnsi="Times New Roman"/>
                <w:color w:val="000000"/>
                <w:sz w:val="22"/>
              </w:rPr>
            </w:pPr>
            <w:r w:rsidRPr="00620B08">
              <w:rPr>
                <w:rFonts w:ascii="Times New Roman" w:eastAsia="MS Mincho" w:hAnsi="Times New Roman"/>
                <w:color w:val="000000"/>
                <w:sz w:val="22"/>
              </w:rPr>
              <w:t>121</w:t>
            </w:r>
          </w:p>
        </w:tc>
      </w:tr>
      <w:tr w:rsidR="00A06BC9" w:rsidRPr="00930F59" w:rsidTr="001B3A55">
        <w:tblPrEx>
          <w:tblLook w:val="01E0"/>
        </w:tblPrEx>
        <w:tc>
          <w:tcPr>
            <w:tcW w:w="1843" w:type="dxa"/>
            <w:tcBorders>
              <w:top w:val="nil"/>
              <w:left w:val="nil"/>
              <w:bottom w:val="nil"/>
              <w:right w:val="nil"/>
            </w:tcBorders>
          </w:tcPr>
          <w:p w:rsidR="00A06BC9" w:rsidRPr="00620B08" w:rsidRDefault="00A06BC9" w:rsidP="00B123A3">
            <w:pPr>
              <w:spacing w:line="360" w:lineRule="auto"/>
              <w:rPr>
                <w:rFonts w:ascii="Times New Roman" w:eastAsia="MS Mincho" w:hAnsi="Times New Roman"/>
                <w:color w:val="000000"/>
                <w:sz w:val="22"/>
              </w:rPr>
            </w:pPr>
            <w:r w:rsidRPr="00620B08">
              <w:rPr>
                <w:rFonts w:ascii="Times New Roman" w:eastAsia="MS Mincho" w:hAnsi="Times New Roman"/>
                <w:color w:val="000000"/>
                <w:sz w:val="22"/>
              </w:rPr>
              <w:t>(NM_207707)</w:t>
            </w:r>
          </w:p>
        </w:tc>
        <w:tc>
          <w:tcPr>
            <w:tcW w:w="992" w:type="dxa"/>
            <w:tcBorders>
              <w:top w:val="nil"/>
              <w:left w:val="nil"/>
              <w:bottom w:val="nil"/>
              <w:right w:val="nil"/>
            </w:tcBorders>
          </w:tcPr>
          <w:p w:rsidR="00A06BC9" w:rsidRPr="00620B08" w:rsidRDefault="00A06BC9" w:rsidP="00B123A3">
            <w:pPr>
              <w:spacing w:line="360" w:lineRule="auto"/>
              <w:rPr>
                <w:rFonts w:ascii="Times New Roman" w:eastAsia="MS Mincho" w:hAnsi="Times New Roman"/>
                <w:color w:val="000000"/>
                <w:sz w:val="22"/>
              </w:rPr>
            </w:pPr>
            <w:r w:rsidRPr="00620B08">
              <w:rPr>
                <w:rFonts w:ascii="Times New Roman" w:eastAsia="MS Mincho" w:hAnsi="Times New Roman"/>
                <w:color w:val="000000"/>
                <w:sz w:val="22"/>
              </w:rPr>
              <w:t>Reverse</w:t>
            </w:r>
          </w:p>
        </w:tc>
        <w:tc>
          <w:tcPr>
            <w:tcW w:w="3969" w:type="dxa"/>
            <w:tcBorders>
              <w:top w:val="nil"/>
              <w:left w:val="nil"/>
              <w:bottom w:val="nil"/>
              <w:right w:val="nil"/>
            </w:tcBorders>
          </w:tcPr>
          <w:p w:rsidR="00A06BC9" w:rsidRPr="00620B08" w:rsidRDefault="00A06BC9" w:rsidP="00B123A3">
            <w:pPr>
              <w:spacing w:line="360" w:lineRule="auto"/>
              <w:rPr>
                <w:rFonts w:ascii="Times New Roman" w:eastAsia="MS Mincho" w:hAnsi="Times New Roman"/>
                <w:color w:val="000000"/>
                <w:sz w:val="22"/>
                <w:highlight w:val="yellow"/>
              </w:rPr>
            </w:pPr>
            <w:r w:rsidRPr="00620B08">
              <w:rPr>
                <w:rFonts w:ascii="Times New Roman" w:eastAsia="MS Mincho" w:hAnsi="Times New Roman"/>
                <w:color w:val="000000"/>
                <w:sz w:val="22"/>
              </w:rPr>
              <w:t>GTACATACTGGAGTTGAGGA</w:t>
            </w:r>
          </w:p>
        </w:tc>
        <w:tc>
          <w:tcPr>
            <w:tcW w:w="1758" w:type="dxa"/>
            <w:vMerge/>
            <w:tcBorders>
              <w:top w:val="nil"/>
              <w:left w:val="nil"/>
              <w:bottom w:val="nil"/>
              <w:right w:val="nil"/>
            </w:tcBorders>
          </w:tcPr>
          <w:p w:rsidR="00A06BC9" w:rsidRPr="00620B08" w:rsidRDefault="00A06BC9" w:rsidP="00B123A3">
            <w:pPr>
              <w:spacing w:line="360" w:lineRule="auto"/>
              <w:jc w:val="center"/>
              <w:rPr>
                <w:rFonts w:ascii="Times New Roman" w:eastAsia="MS Mincho" w:hAnsi="Times New Roman"/>
                <w:color w:val="000000"/>
                <w:sz w:val="22"/>
              </w:rPr>
            </w:pPr>
          </w:p>
        </w:tc>
      </w:tr>
      <w:tr w:rsidR="00A06BC9" w:rsidRPr="00930F59" w:rsidTr="006C1D08">
        <w:tblPrEx>
          <w:tblLook w:val="01E0"/>
        </w:tblPrEx>
        <w:tc>
          <w:tcPr>
            <w:tcW w:w="1843" w:type="dxa"/>
            <w:tcBorders>
              <w:top w:val="nil"/>
              <w:left w:val="nil"/>
              <w:bottom w:val="nil"/>
              <w:right w:val="nil"/>
            </w:tcBorders>
          </w:tcPr>
          <w:p w:rsidR="00A06BC9" w:rsidRPr="00620B08" w:rsidRDefault="00A06BC9" w:rsidP="00B123A3">
            <w:pPr>
              <w:spacing w:line="360" w:lineRule="auto"/>
              <w:rPr>
                <w:rFonts w:ascii="Times New Roman" w:eastAsia="MS Mincho" w:hAnsi="Times New Roman"/>
                <w:color w:val="000000"/>
                <w:sz w:val="22"/>
              </w:rPr>
            </w:pPr>
            <w:r w:rsidRPr="00620B08">
              <w:rPr>
                <w:rFonts w:ascii="Times New Roman" w:eastAsia="MS Mincho" w:hAnsi="Times New Roman"/>
                <w:color w:val="000000"/>
                <w:sz w:val="22"/>
              </w:rPr>
              <w:t>CYP1A1</w:t>
            </w:r>
          </w:p>
        </w:tc>
        <w:tc>
          <w:tcPr>
            <w:tcW w:w="992" w:type="dxa"/>
            <w:tcBorders>
              <w:top w:val="nil"/>
              <w:left w:val="nil"/>
              <w:bottom w:val="nil"/>
              <w:right w:val="nil"/>
            </w:tcBorders>
          </w:tcPr>
          <w:p w:rsidR="00A06BC9" w:rsidRPr="00620B08" w:rsidRDefault="00A06BC9" w:rsidP="00B123A3">
            <w:pPr>
              <w:spacing w:line="360" w:lineRule="auto"/>
              <w:rPr>
                <w:rFonts w:ascii="Times New Roman" w:eastAsia="MS Mincho" w:hAnsi="Times New Roman"/>
                <w:color w:val="000000"/>
                <w:sz w:val="22"/>
              </w:rPr>
            </w:pPr>
            <w:r w:rsidRPr="00620B08">
              <w:rPr>
                <w:rFonts w:ascii="Times New Roman" w:eastAsia="MS Mincho" w:hAnsi="Times New Roman"/>
                <w:color w:val="000000"/>
                <w:sz w:val="22"/>
              </w:rPr>
              <w:t>Forward</w:t>
            </w:r>
          </w:p>
        </w:tc>
        <w:tc>
          <w:tcPr>
            <w:tcW w:w="3969" w:type="dxa"/>
            <w:tcBorders>
              <w:top w:val="nil"/>
              <w:left w:val="nil"/>
              <w:bottom w:val="nil"/>
              <w:right w:val="nil"/>
            </w:tcBorders>
          </w:tcPr>
          <w:p w:rsidR="00A06BC9" w:rsidRPr="00620B08" w:rsidRDefault="00A06BC9" w:rsidP="00B123A3">
            <w:pPr>
              <w:spacing w:line="360" w:lineRule="auto"/>
              <w:rPr>
                <w:rFonts w:ascii="Times New Roman" w:eastAsia="MS Mincho" w:hAnsi="Times New Roman"/>
                <w:color w:val="000000"/>
                <w:sz w:val="22"/>
              </w:rPr>
            </w:pPr>
            <w:r w:rsidRPr="00620B08">
              <w:rPr>
                <w:rFonts w:ascii="Times New Roman" w:eastAsia="MS Mincho" w:hAnsi="Times New Roman"/>
                <w:color w:val="000000"/>
                <w:sz w:val="22"/>
              </w:rPr>
              <w:t>GGGGTGCTGTGTCTTTGTGAA</w:t>
            </w:r>
          </w:p>
        </w:tc>
        <w:tc>
          <w:tcPr>
            <w:tcW w:w="1758" w:type="dxa"/>
            <w:vMerge w:val="restart"/>
            <w:tcBorders>
              <w:top w:val="nil"/>
              <w:left w:val="nil"/>
              <w:right w:val="nil"/>
            </w:tcBorders>
            <w:vAlign w:val="center"/>
          </w:tcPr>
          <w:p w:rsidR="00A06BC9" w:rsidRPr="00620B08" w:rsidRDefault="00A06BC9" w:rsidP="006C1D08">
            <w:pPr>
              <w:spacing w:line="360" w:lineRule="auto"/>
              <w:jc w:val="center"/>
              <w:rPr>
                <w:rFonts w:ascii="Times New Roman" w:eastAsia="MS Mincho" w:hAnsi="Times New Roman"/>
                <w:color w:val="000000"/>
                <w:sz w:val="22"/>
              </w:rPr>
            </w:pPr>
            <w:r w:rsidRPr="00620B08">
              <w:rPr>
                <w:rFonts w:ascii="Times New Roman" w:eastAsia="MS Mincho" w:hAnsi="Times New Roman"/>
                <w:color w:val="000000"/>
                <w:sz w:val="22"/>
              </w:rPr>
              <w:t>123</w:t>
            </w:r>
          </w:p>
        </w:tc>
      </w:tr>
      <w:tr w:rsidR="00A06BC9" w:rsidRPr="00930F59" w:rsidTr="00357CAD">
        <w:tblPrEx>
          <w:tblLook w:val="01E0"/>
        </w:tblPrEx>
        <w:tc>
          <w:tcPr>
            <w:tcW w:w="1843" w:type="dxa"/>
            <w:tcBorders>
              <w:top w:val="nil"/>
              <w:left w:val="nil"/>
              <w:bottom w:val="nil"/>
              <w:right w:val="nil"/>
            </w:tcBorders>
          </w:tcPr>
          <w:p w:rsidR="00A06BC9" w:rsidRPr="00620B08" w:rsidRDefault="00A06BC9" w:rsidP="00B123A3">
            <w:pPr>
              <w:spacing w:line="360" w:lineRule="auto"/>
              <w:rPr>
                <w:rFonts w:ascii="Times New Roman" w:eastAsia="MS Mincho" w:hAnsi="Times New Roman"/>
                <w:color w:val="000000"/>
                <w:sz w:val="22"/>
              </w:rPr>
            </w:pPr>
            <w:r w:rsidRPr="00620B08">
              <w:rPr>
                <w:rFonts w:ascii="Times New Roman" w:eastAsia="MS Mincho" w:hAnsi="Times New Roman"/>
                <w:color w:val="000000"/>
                <w:sz w:val="22"/>
              </w:rPr>
              <w:t>(NM_009992)</w:t>
            </w:r>
          </w:p>
        </w:tc>
        <w:tc>
          <w:tcPr>
            <w:tcW w:w="992" w:type="dxa"/>
            <w:tcBorders>
              <w:top w:val="nil"/>
              <w:left w:val="nil"/>
              <w:bottom w:val="nil"/>
              <w:right w:val="nil"/>
            </w:tcBorders>
          </w:tcPr>
          <w:p w:rsidR="00A06BC9" w:rsidRPr="00620B08" w:rsidRDefault="00A06BC9" w:rsidP="00B123A3">
            <w:pPr>
              <w:spacing w:line="360" w:lineRule="auto"/>
              <w:rPr>
                <w:rFonts w:ascii="Times New Roman" w:eastAsia="MS Mincho" w:hAnsi="Times New Roman"/>
                <w:color w:val="000000"/>
                <w:sz w:val="22"/>
              </w:rPr>
            </w:pPr>
            <w:r w:rsidRPr="00620B08">
              <w:rPr>
                <w:rFonts w:ascii="Times New Roman" w:eastAsia="MS Mincho" w:hAnsi="Times New Roman"/>
                <w:color w:val="000000"/>
                <w:sz w:val="22"/>
              </w:rPr>
              <w:t>Reverse</w:t>
            </w:r>
          </w:p>
        </w:tc>
        <w:tc>
          <w:tcPr>
            <w:tcW w:w="3969" w:type="dxa"/>
            <w:tcBorders>
              <w:top w:val="nil"/>
              <w:left w:val="nil"/>
              <w:bottom w:val="nil"/>
              <w:right w:val="nil"/>
            </w:tcBorders>
          </w:tcPr>
          <w:p w:rsidR="00A06BC9" w:rsidRPr="00620B08" w:rsidRDefault="00A06BC9" w:rsidP="00B123A3">
            <w:pPr>
              <w:spacing w:line="360" w:lineRule="auto"/>
              <w:rPr>
                <w:rFonts w:ascii="Times New Roman" w:eastAsia="MS Mincho" w:hAnsi="Times New Roman"/>
                <w:color w:val="000000"/>
                <w:sz w:val="22"/>
              </w:rPr>
            </w:pPr>
            <w:r w:rsidRPr="00620B08">
              <w:rPr>
                <w:rFonts w:ascii="Times New Roman" w:eastAsia="MS Mincho" w:hAnsi="Times New Roman"/>
                <w:color w:val="000000"/>
                <w:sz w:val="22"/>
              </w:rPr>
              <w:t>CTCAAGCGCTTGTCCAGAGT</w:t>
            </w:r>
          </w:p>
        </w:tc>
        <w:tc>
          <w:tcPr>
            <w:tcW w:w="1758" w:type="dxa"/>
            <w:vMerge/>
            <w:tcBorders>
              <w:left w:val="nil"/>
              <w:bottom w:val="nil"/>
              <w:right w:val="nil"/>
            </w:tcBorders>
          </w:tcPr>
          <w:p w:rsidR="00A06BC9" w:rsidRPr="00620B08" w:rsidRDefault="00A06BC9" w:rsidP="00B123A3">
            <w:pPr>
              <w:spacing w:line="360" w:lineRule="auto"/>
              <w:jc w:val="center"/>
              <w:rPr>
                <w:rFonts w:ascii="Times New Roman" w:eastAsia="MS Mincho" w:hAnsi="Times New Roman"/>
                <w:color w:val="000000"/>
                <w:sz w:val="22"/>
              </w:rPr>
            </w:pPr>
          </w:p>
        </w:tc>
      </w:tr>
      <w:tr w:rsidR="00A06BC9" w:rsidRPr="00930F59" w:rsidTr="001B3A55">
        <w:tblPrEx>
          <w:tblLook w:val="01E0"/>
        </w:tblPrEx>
        <w:tc>
          <w:tcPr>
            <w:tcW w:w="1843" w:type="dxa"/>
            <w:tcBorders>
              <w:top w:val="nil"/>
              <w:left w:val="nil"/>
              <w:bottom w:val="nil"/>
              <w:right w:val="nil"/>
            </w:tcBorders>
          </w:tcPr>
          <w:p w:rsidR="00A06BC9" w:rsidRPr="00620B08" w:rsidRDefault="00A06BC9" w:rsidP="00B123A3">
            <w:pPr>
              <w:spacing w:line="360" w:lineRule="auto"/>
              <w:rPr>
                <w:rFonts w:ascii="Times New Roman" w:eastAsia="MS Mincho" w:hAnsi="Times New Roman"/>
                <w:color w:val="000000"/>
                <w:sz w:val="22"/>
              </w:rPr>
            </w:pPr>
            <w:r w:rsidRPr="00620B08">
              <w:rPr>
                <w:rFonts w:ascii="Symbol" w:eastAsia="MS Mincho" w:hAnsi="Symbol"/>
                <w:color w:val="000000"/>
                <w:sz w:val="22"/>
              </w:rPr>
              <w:t></w:t>
            </w:r>
            <w:r w:rsidRPr="00620B08">
              <w:rPr>
                <w:rFonts w:ascii="Times New Roman" w:eastAsia="MS Mincho" w:hAnsi="Times New Roman"/>
                <w:color w:val="000000"/>
                <w:sz w:val="22"/>
              </w:rPr>
              <w:t>-actin</w:t>
            </w:r>
          </w:p>
        </w:tc>
        <w:tc>
          <w:tcPr>
            <w:tcW w:w="992" w:type="dxa"/>
            <w:tcBorders>
              <w:top w:val="nil"/>
              <w:left w:val="nil"/>
              <w:bottom w:val="nil"/>
              <w:right w:val="nil"/>
            </w:tcBorders>
          </w:tcPr>
          <w:p w:rsidR="00A06BC9" w:rsidRPr="00620B08" w:rsidRDefault="00A06BC9" w:rsidP="00B123A3">
            <w:pPr>
              <w:spacing w:line="360" w:lineRule="auto"/>
              <w:rPr>
                <w:rFonts w:ascii="Times New Roman" w:eastAsia="MS Mincho" w:hAnsi="Times New Roman"/>
                <w:color w:val="000000"/>
                <w:sz w:val="22"/>
              </w:rPr>
            </w:pPr>
            <w:r w:rsidRPr="00620B08">
              <w:rPr>
                <w:rFonts w:ascii="Times New Roman" w:eastAsia="MS Mincho" w:hAnsi="Times New Roman"/>
                <w:color w:val="000000"/>
                <w:sz w:val="22"/>
              </w:rPr>
              <w:t>Forward</w:t>
            </w:r>
          </w:p>
        </w:tc>
        <w:tc>
          <w:tcPr>
            <w:tcW w:w="3969" w:type="dxa"/>
            <w:tcBorders>
              <w:top w:val="nil"/>
              <w:left w:val="nil"/>
              <w:bottom w:val="nil"/>
              <w:right w:val="nil"/>
            </w:tcBorders>
          </w:tcPr>
          <w:p w:rsidR="00A06BC9" w:rsidRPr="00620B08" w:rsidRDefault="00A06BC9" w:rsidP="00B123A3">
            <w:pPr>
              <w:spacing w:line="360" w:lineRule="auto"/>
              <w:rPr>
                <w:rFonts w:ascii="Times New Roman" w:eastAsia="MS Mincho" w:hAnsi="Times New Roman"/>
                <w:color w:val="000000"/>
                <w:sz w:val="22"/>
                <w:highlight w:val="yellow"/>
              </w:rPr>
            </w:pPr>
            <w:r w:rsidRPr="00620B08">
              <w:rPr>
                <w:rFonts w:ascii="Times New Roman" w:eastAsia="MS Mincho" w:hAnsi="Times New Roman"/>
                <w:color w:val="000000"/>
                <w:sz w:val="22"/>
              </w:rPr>
              <w:t>CCCTGAACCCTAAGGCCAACCGTG</w:t>
            </w:r>
          </w:p>
        </w:tc>
        <w:tc>
          <w:tcPr>
            <w:tcW w:w="1758" w:type="dxa"/>
            <w:vMerge w:val="restart"/>
            <w:tcBorders>
              <w:top w:val="nil"/>
              <w:left w:val="nil"/>
              <w:right w:val="nil"/>
            </w:tcBorders>
            <w:vAlign w:val="center"/>
          </w:tcPr>
          <w:p w:rsidR="00A06BC9" w:rsidRPr="00620B08" w:rsidRDefault="00A06BC9" w:rsidP="00B123A3">
            <w:pPr>
              <w:spacing w:line="360" w:lineRule="auto"/>
              <w:jc w:val="center"/>
              <w:rPr>
                <w:rFonts w:ascii="Times New Roman" w:eastAsia="MS Mincho" w:hAnsi="Times New Roman"/>
                <w:color w:val="000000"/>
                <w:sz w:val="22"/>
              </w:rPr>
            </w:pPr>
            <w:r w:rsidRPr="00620B08">
              <w:rPr>
                <w:rFonts w:ascii="Times New Roman" w:eastAsia="MS Mincho" w:hAnsi="Times New Roman"/>
                <w:color w:val="000000"/>
                <w:sz w:val="22"/>
              </w:rPr>
              <w:t>125</w:t>
            </w:r>
          </w:p>
        </w:tc>
      </w:tr>
      <w:tr w:rsidR="00A06BC9" w:rsidRPr="00930F59" w:rsidTr="001B3A55">
        <w:tblPrEx>
          <w:tblLook w:val="01E0"/>
        </w:tblPrEx>
        <w:tc>
          <w:tcPr>
            <w:tcW w:w="1843" w:type="dxa"/>
            <w:tcBorders>
              <w:top w:val="nil"/>
              <w:left w:val="nil"/>
              <w:bottom w:val="single" w:sz="18" w:space="0" w:color="000000"/>
              <w:right w:val="nil"/>
            </w:tcBorders>
          </w:tcPr>
          <w:p w:rsidR="00A06BC9" w:rsidRPr="00620B08" w:rsidRDefault="00A06BC9" w:rsidP="00B123A3">
            <w:pPr>
              <w:spacing w:line="360" w:lineRule="auto"/>
              <w:rPr>
                <w:rFonts w:ascii="Times New Roman" w:eastAsia="MS Mincho" w:hAnsi="Times New Roman"/>
                <w:color w:val="000000"/>
                <w:sz w:val="22"/>
              </w:rPr>
            </w:pPr>
            <w:r w:rsidRPr="00620B08">
              <w:rPr>
                <w:rFonts w:ascii="Times New Roman" w:eastAsia="MS Mincho" w:hAnsi="Times New Roman"/>
                <w:color w:val="000000"/>
                <w:sz w:val="22"/>
              </w:rPr>
              <w:t xml:space="preserve">(NM_007393)  </w:t>
            </w:r>
          </w:p>
        </w:tc>
        <w:tc>
          <w:tcPr>
            <w:tcW w:w="992" w:type="dxa"/>
            <w:tcBorders>
              <w:top w:val="nil"/>
              <w:left w:val="nil"/>
              <w:bottom w:val="single" w:sz="18" w:space="0" w:color="000000"/>
              <w:right w:val="nil"/>
            </w:tcBorders>
          </w:tcPr>
          <w:p w:rsidR="00A06BC9" w:rsidRPr="00620B08" w:rsidRDefault="00A06BC9" w:rsidP="00B123A3">
            <w:pPr>
              <w:spacing w:line="360" w:lineRule="auto"/>
              <w:rPr>
                <w:rFonts w:ascii="Times New Roman" w:eastAsia="MS Mincho" w:hAnsi="Times New Roman"/>
                <w:color w:val="000000"/>
                <w:sz w:val="22"/>
              </w:rPr>
            </w:pPr>
            <w:r w:rsidRPr="00620B08">
              <w:rPr>
                <w:rFonts w:ascii="Times New Roman" w:eastAsia="MS Mincho" w:hAnsi="Times New Roman"/>
                <w:color w:val="000000"/>
                <w:sz w:val="22"/>
              </w:rPr>
              <w:t xml:space="preserve">Reverse </w:t>
            </w:r>
          </w:p>
        </w:tc>
        <w:tc>
          <w:tcPr>
            <w:tcW w:w="3969" w:type="dxa"/>
            <w:tcBorders>
              <w:top w:val="nil"/>
              <w:left w:val="nil"/>
              <w:bottom w:val="single" w:sz="18" w:space="0" w:color="000000"/>
              <w:right w:val="nil"/>
            </w:tcBorders>
          </w:tcPr>
          <w:p w:rsidR="00A06BC9" w:rsidRPr="00620B08" w:rsidRDefault="00A06BC9" w:rsidP="00B123A3">
            <w:pPr>
              <w:spacing w:line="360" w:lineRule="auto"/>
              <w:rPr>
                <w:rFonts w:ascii="Times New Roman" w:eastAsia="MS Mincho" w:hAnsi="Times New Roman"/>
                <w:color w:val="000000"/>
                <w:sz w:val="22"/>
                <w:highlight w:val="yellow"/>
              </w:rPr>
            </w:pPr>
            <w:r w:rsidRPr="00620B08">
              <w:rPr>
                <w:rFonts w:ascii="Times New Roman" w:eastAsia="MS Mincho" w:hAnsi="Times New Roman"/>
                <w:color w:val="000000"/>
                <w:sz w:val="22"/>
              </w:rPr>
              <w:t>GCCTGTGGTACGACCAGAGGCATAC</w:t>
            </w:r>
          </w:p>
        </w:tc>
        <w:tc>
          <w:tcPr>
            <w:tcW w:w="1758" w:type="dxa"/>
            <w:vMerge/>
            <w:tcBorders>
              <w:left w:val="nil"/>
              <w:bottom w:val="single" w:sz="18" w:space="0" w:color="000000"/>
              <w:right w:val="nil"/>
            </w:tcBorders>
          </w:tcPr>
          <w:p w:rsidR="00A06BC9" w:rsidRPr="00620B08" w:rsidRDefault="00A06BC9" w:rsidP="00B123A3">
            <w:pPr>
              <w:spacing w:line="360" w:lineRule="auto"/>
              <w:rPr>
                <w:rFonts w:ascii="Times New Roman" w:eastAsia="MS Mincho" w:hAnsi="Times New Roman"/>
                <w:color w:val="000000"/>
                <w:sz w:val="22"/>
              </w:rPr>
            </w:pPr>
          </w:p>
        </w:tc>
      </w:tr>
    </w:tbl>
    <w:p w:rsidR="00A06BC9" w:rsidRPr="00620B08" w:rsidRDefault="00A06BC9" w:rsidP="00B123A3">
      <w:pPr>
        <w:spacing w:line="360" w:lineRule="auto"/>
        <w:rPr>
          <w:rFonts w:ascii="Times New Roman" w:hAnsi="Times New Roman"/>
          <w:color w:val="000000"/>
          <w:sz w:val="22"/>
        </w:rPr>
      </w:pPr>
    </w:p>
    <w:sectPr w:rsidR="00A06BC9" w:rsidRPr="00620B08" w:rsidSect="00212B22">
      <w:footerReference w:type="default" r:id="rId12"/>
      <w:pgSz w:w="11906" w:h="16838"/>
      <w:pgMar w:top="1985" w:right="1701" w:bottom="1701" w:left="1701" w:header="851" w:footer="992" w:gutter="0"/>
      <w:lnNumType w:countBy="1" w:restart="continuous"/>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06BC9" w:rsidRDefault="00A06BC9" w:rsidP="00BA5A2F">
      <w:r>
        <w:separator/>
      </w:r>
    </w:p>
  </w:endnote>
  <w:endnote w:type="continuationSeparator" w:id="0">
    <w:p w:rsidR="00A06BC9" w:rsidRDefault="00A06BC9" w:rsidP="00BA5A2F">
      <w:r>
        <w:continuationSeparator/>
      </w:r>
    </w:p>
  </w:endnote>
</w:endnotes>
</file>

<file path=word/fontTable.xml><?xml version="1.0" encoding="utf-8"?>
<w:fonts xmlns:r="http://schemas.openxmlformats.org/officeDocument/2006/relationships" xmlns:w="http://schemas.openxmlformats.org/wordprocessingml/2006/main">
  <w:font w:name="游明朝">
    <w:altName w:val="MS Gothic"/>
    <w:panose1 w:val="00000000000000000000"/>
    <w:charset w:val="80"/>
    <w:family w:val="roman"/>
    <w:notTrueType/>
    <w:pitch w:val="variable"/>
    <w:sig w:usb0="00000001" w:usb1="08070000" w:usb2="00000010" w:usb3="00000000" w:csb0="00020000" w:csb1="00000000"/>
  </w:font>
  <w:font w:name="Times New Roman">
    <w:panose1 w:val="02020603050405020304"/>
    <w:charset w:val="00"/>
    <w:family w:val="roman"/>
    <w:pitch w:val="variable"/>
    <w:sig w:usb0="20002A87" w:usb1="80000000" w:usb2="00000008" w:usb3="00000000" w:csb0="000001FF" w:csb1="00000000"/>
  </w:font>
  <w:font w:name="游ゴシック Light">
    <w:panose1 w:val="00000000000000000000"/>
    <w:charset w:val="80"/>
    <w:family w:val="modern"/>
    <w:notTrueType/>
    <w:pitch w:val="variable"/>
    <w:sig w:usb0="00000001" w:usb1="08070000" w:usb2="00000010" w:usb3="00000000" w:csb0="00020000" w:csb1="00000000"/>
  </w:font>
  <w:font w:name="MS Mincho">
    <w:altName w:val="MS Gothic"/>
    <w:panose1 w:val="02020609040205080304"/>
    <w:charset w:val="80"/>
    <w:family w:val="roman"/>
    <w:notTrueType/>
    <w:pitch w:val="fixed"/>
    <w:sig w:usb0="00000001"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MS PGothic">
    <w:altName w:val="昒? ?嫛???"/>
    <w:panose1 w:val="020B0600070205080204"/>
    <w:charset w:val="80"/>
    <w:family w:val="swiss"/>
    <w:pitch w:val="variable"/>
    <w:sig w:usb0="A00002BF" w:usb1="68C7FCFB" w:usb2="00000010" w:usb3="00000000" w:csb0="0002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6BC9" w:rsidRDefault="00A06BC9">
    <w:pPr>
      <w:pStyle w:val="Footer"/>
      <w:jc w:val="center"/>
    </w:pPr>
    <w:fldSimple w:instr="PAGE   \* MERGEFORMAT">
      <w:r w:rsidRPr="001A7D5B">
        <w:rPr>
          <w:noProof/>
          <w:lang w:val="ja-JP"/>
        </w:rPr>
        <w:t>1</w:t>
      </w:r>
    </w:fldSimple>
  </w:p>
  <w:p w:rsidR="00A06BC9" w:rsidRDefault="00A06BC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06BC9" w:rsidRDefault="00A06BC9" w:rsidP="00BA5A2F">
      <w:r>
        <w:separator/>
      </w:r>
    </w:p>
  </w:footnote>
  <w:footnote w:type="continuationSeparator" w:id="0">
    <w:p w:rsidR="00A06BC9" w:rsidRDefault="00A06BC9" w:rsidP="00BA5A2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840"/>
  <w:drawingGridHorizontalSpacing w:val="105"/>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204BA"/>
    <w:rsid w:val="00011E86"/>
    <w:rsid w:val="000224A9"/>
    <w:rsid w:val="0002761C"/>
    <w:rsid w:val="00035C80"/>
    <w:rsid w:val="0003640D"/>
    <w:rsid w:val="000472B0"/>
    <w:rsid w:val="00060DFF"/>
    <w:rsid w:val="000A797E"/>
    <w:rsid w:val="0011777F"/>
    <w:rsid w:val="00137555"/>
    <w:rsid w:val="0016405F"/>
    <w:rsid w:val="00182EFC"/>
    <w:rsid w:val="00192B8A"/>
    <w:rsid w:val="001A0519"/>
    <w:rsid w:val="001A5FD7"/>
    <w:rsid w:val="001A7D5B"/>
    <w:rsid w:val="001B3A55"/>
    <w:rsid w:val="001B5DCF"/>
    <w:rsid w:val="001C0C74"/>
    <w:rsid w:val="001C26B8"/>
    <w:rsid w:val="001D1F16"/>
    <w:rsid w:val="001F5513"/>
    <w:rsid w:val="002109E3"/>
    <w:rsid w:val="00212B22"/>
    <w:rsid w:val="00230435"/>
    <w:rsid w:val="00241D14"/>
    <w:rsid w:val="00254010"/>
    <w:rsid w:val="00262210"/>
    <w:rsid w:val="00266C8F"/>
    <w:rsid w:val="00267063"/>
    <w:rsid w:val="0028437D"/>
    <w:rsid w:val="0029320A"/>
    <w:rsid w:val="00296383"/>
    <w:rsid w:val="00296CBB"/>
    <w:rsid w:val="00297755"/>
    <w:rsid w:val="002C0EC2"/>
    <w:rsid w:val="002F4B7F"/>
    <w:rsid w:val="00303636"/>
    <w:rsid w:val="003045B2"/>
    <w:rsid w:val="00325182"/>
    <w:rsid w:val="00333E8C"/>
    <w:rsid w:val="00334169"/>
    <w:rsid w:val="00357CAD"/>
    <w:rsid w:val="0036493D"/>
    <w:rsid w:val="0038058C"/>
    <w:rsid w:val="003A063B"/>
    <w:rsid w:val="003B0B46"/>
    <w:rsid w:val="003B3256"/>
    <w:rsid w:val="003D0FC0"/>
    <w:rsid w:val="003D2192"/>
    <w:rsid w:val="003E7428"/>
    <w:rsid w:val="00403464"/>
    <w:rsid w:val="0044061F"/>
    <w:rsid w:val="00476ABE"/>
    <w:rsid w:val="004C459C"/>
    <w:rsid w:val="004C5EBA"/>
    <w:rsid w:val="004D57CF"/>
    <w:rsid w:val="004D6323"/>
    <w:rsid w:val="004E7954"/>
    <w:rsid w:val="00504B7F"/>
    <w:rsid w:val="00553552"/>
    <w:rsid w:val="00553B21"/>
    <w:rsid w:val="00554E24"/>
    <w:rsid w:val="00565ED2"/>
    <w:rsid w:val="0058100F"/>
    <w:rsid w:val="00581256"/>
    <w:rsid w:val="005A18CD"/>
    <w:rsid w:val="005C6F5A"/>
    <w:rsid w:val="00605891"/>
    <w:rsid w:val="006127F5"/>
    <w:rsid w:val="00612A10"/>
    <w:rsid w:val="00620B08"/>
    <w:rsid w:val="0063014A"/>
    <w:rsid w:val="006351B2"/>
    <w:rsid w:val="00643A8A"/>
    <w:rsid w:val="00650DAA"/>
    <w:rsid w:val="006547E9"/>
    <w:rsid w:val="00655E2F"/>
    <w:rsid w:val="0066407C"/>
    <w:rsid w:val="00667142"/>
    <w:rsid w:val="00675DC8"/>
    <w:rsid w:val="00691325"/>
    <w:rsid w:val="006B268C"/>
    <w:rsid w:val="006B4DE2"/>
    <w:rsid w:val="006C1D08"/>
    <w:rsid w:val="006C4204"/>
    <w:rsid w:val="006C6985"/>
    <w:rsid w:val="006E3CE0"/>
    <w:rsid w:val="006E4A81"/>
    <w:rsid w:val="006F61D6"/>
    <w:rsid w:val="00734D34"/>
    <w:rsid w:val="00783762"/>
    <w:rsid w:val="00785F32"/>
    <w:rsid w:val="007A1966"/>
    <w:rsid w:val="007B5B2A"/>
    <w:rsid w:val="007B5FF2"/>
    <w:rsid w:val="007C324B"/>
    <w:rsid w:val="007C5B55"/>
    <w:rsid w:val="007C699C"/>
    <w:rsid w:val="007C7AEA"/>
    <w:rsid w:val="007D0CB2"/>
    <w:rsid w:val="007F1521"/>
    <w:rsid w:val="008170A9"/>
    <w:rsid w:val="0082266D"/>
    <w:rsid w:val="0082315C"/>
    <w:rsid w:val="00823538"/>
    <w:rsid w:val="008666ED"/>
    <w:rsid w:val="008A7120"/>
    <w:rsid w:val="008D0AF5"/>
    <w:rsid w:val="008D6C63"/>
    <w:rsid w:val="008E1626"/>
    <w:rsid w:val="00900235"/>
    <w:rsid w:val="00930F59"/>
    <w:rsid w:val="0094104E"/>
    <w:rsid w:val="0094509A"/>
    <w:rsid w:val="009544C3"/>
    <w:rsid w:val="00966EE1"/>
    <w:rsid w:val="0097473A"/>
    <w:rsid w:val="009A4810"/>
    <w:rsid w:val="009F76BB"/>
    <w:rsid w:val="00A04CE1"/>
    <w:rsid w:val="00A06BC9"/>
    <w:rsid w:val="00A16B46"/>
    <w:rsid w:val="00A27BF2"/>
    <w:rsid w:val="00A340E4"/>
    <w:rsid w:val="00A4219C"/>
    <w:rsid w:val="00A45C9E"/>
    <w:rsid w:val="00A637A0"/>
    <w:rsid w:val="00A66901"/>
    <w:rsid w:val="00A82F03"/>
    <w:rsid w:val="00A84E6B"/>
    <w:rsid w:val="00A904F6"/>
    <w:rsid w:val="00AB2759"/>
    <w:rsid w:val="00AE4EC2"/>
    <w:rsid w:val="00AF0D5C"/>
    <w:rsid w:val="00AF6B24"/>
    <w:rsid w:val="00B07567"/>
    <w:rsid w:val="00B11E3E"/>
    <w:rsid w:val="00B123A3"/>
    <w:rsid w:val="00B12D37"/>
    <w:rsid w:val="00B3305A"/>
    <w:rsid w:val="00B70E15"/>
    <w:rsid w:val="00B96341"/>
    <w:rsid w:val="00BA5A2F"/>
    <w:rsid w:val="00BE25F6"/>
    <w:rsid w:val="00BE38F1"/>
    <w:rsid w:val="00BE5AE1"/>
    <w:rsid w:val="00BF3D35"/>
    <w:rsid w:val="00C27464"/>
    <w:rsid w:val="00C377BA"/>
    <w:rsid w:val="00C92C85"/>
    <w:rsid w:val="00CA1E25"/>
    <w:rsid w:val="00CB304D"/>
    <w:rsid w:val="00D204BA"/>
    <w:rsid w:val="00D3467F"/>
    <w:rsid w:val="00D34E44"/>
    <w:rsid w:val="00D36627"/>
    <w:rsid w:val="00D36B5A"/>
    <w:rsid w:val="00D428A9"/>
    <w:rsid w:val="00D82AC6"/>
    <w:rsid w:val="00DA0DAF"/>
    <w:rsid w:val="00DA2B9E"/>
    <w:rsid w:val="00DD0886"/>
    <w:rsid w:val="00DD1027"/>
    <w:rsid w:val="00DE03B0"/>
    <w:rsid w:val="00E03934"/>
    <w:rsid w:val="00E55308"/>
    <w:rsid w:val="00E6765C"/>
    <w:rsid w:val="00E8221E"/>
    <w:rsid w:val="00E844A8"/>
    <w:rsid w:val="00EB7C83"/>
    <w:rsid w:val="00ED027F"/>
    <w:rsid w:val="00ED5FE3"/>
    <w:rsid w:val="00EE5460"/>
    <w:rsid w:val="00EF7FE3"/>
    <w:rsid w:val="00F05BB1"/>
    <w:rsid w:val="00F139AD"/>
    <w:rsid w:val="00F165D6"/>
    <w:rsid w:val="00F30DB7"/>
    <w:rsid w:val="00F4154D"/>
    <w:rsid w:val="00F505A1"/>
    <w:rsid w:val="00F75BB7"/>
    <w:rsid w:val="00F946D3"/>
    <w:rsid w:val="00FF5F6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游明朝" w:eastAsia="游明朝" w:hAnsi="游明朝"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5BB7"/>
    <w:pPr>
      <w:widowControl w:val="0"/>
      <w:jc w:val="both"/>
    </w:pPr>
    <w:rPr>
      <w:lang w:eastAsia="ja-JP"/>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7C699C"/>
    <w:rPr>
      <w:rFonts w:ascii="游ゴシック Light" w:eastAsia="游ゴシック Light" w:hAnsi="游ゴシック Light"/>
      <w:sz w:val="18"/>
      <w:szCs w:val="18"/>
    </w:rPr>
  </w:style>
  <w:style w:type="character" w:customStyle="1" w:styleId="BalloonTextChar">
    <w:name w:val="Balloon Text Char"/>
    <w:basedOn w:val="DefaultParagraphFont"/>
    <w:link w:val="BalloonText"/>
    <w:uiPriority w:val="99"/>
    <w:semiHidden/>
    <w:locked/>
    <w:rsid w:val="007C699C"/>
    <w:rPr>
      <w:rFonts w:ascii="游ゴシック Light" w:eastAsia="游ゴシック Light" w:hAnsi="游ゴシック Light" w:cs="Times New Roman"/>
      <w:sz w:val="18"/>
      <w:szCs w:val="18"/>
    </w:rPr>
  </w:style>
  <w:style w:type="paragraph" w:styleId="Header">
    <w:name w:val="header"/>
    <w:basedOn w:val="Normal"/>
    <w:link w:val="HeaderChar"/>
    <w:uiPriority w:val="99"/>
    <w:rsid w:val="00BA5A2F"/>
    <w:pPr>
      <w:tabs>
        <w:tab w:val="center" w:pos="4252"/>
        <w:tab w:val="right" w:pos="8504"/>
      </w:tabs>
      <w:snapToGrid w:val="0"/>
    </w:pPr>
  </w:style>
  <w:style w:type="character" w:customStyle="1" w:styleId="HeaderChar">
    <w:name w:val="Header Char"/>
    <w:basedOn w:val="DefaultParagraphFont"/>
    <w:link w:val="Header"/>
    <w:uiPriority w:val="99"/>
    <w:locked/>
    <w:rsid w:val="00BA5A2F"/>
    <w:rPr>
      <w:rFonts w:cs="Times New Roman"/>
    </w:rPr>
  </w:style>
  <w:style w:type="paragraph" w:styleId="Footer">
    <w:name w:val="footer"/>
    <w:basedOn w:val="Normal"/>
    <w:link w:val="FooterChar"/>
    <w:uiPriority w:val="99"/>
    <w:rsid w:val="00BA5A2F"/>
    <w:pPr>
      <w:tabs>
        <w:tab w:val="center" w:pos="4252"/>
        <w:tab w:val="right" w:pos="8504"/>
      </w:tabs>
      <w:snapToGrid w:val="0"/>
    </w:pPr>
  </w:style>
  <w:style w:type="character" w:customStyle="1" w:styleId="FooterChar">
    <w:name w:val="Footer Char"/>
    <w:basedOn w:val="DefaultParagraphFont"/>
    <w:link w:val="Footer"/>
    <w:uiPriority w:val="99"/>
    <w:locked/>
    <w:rsid w:val="00BA5A2F"/>
    <w:rPr>
      <w:rFonts w:cs="Times New Roman"/>
    </w:rPr>
  </w:style>
  <w:style w:type="character" w:styleId="CommentReference">
    <w:name w:val="annotation reference"/>
    <w:basedOn w:val="DefaultParagraphFont"/>
    <w:uiPriority w:val="99"/>
    <w:semiHidden/>
    <w:rsid w:val="00D34E44"/>
    <w:rPr>
      <w:rFonts w:cs="Times New Roman"/>
      <w:sz w:val="18"/>
      <w:szCs w:val="18"/>
    </w:rPr>
  </w:style>
  <w:style w:type="paragraph" w:styleId="CommentText">
    <w:name w:val="annotation text"/>
    <w:basedOn w:val="Normal"/>
    <w:link w:val="CommentTextChar"/>
    <w:uiPriority w:val="99"/>
    <w:semiHidden/>
    <w:rsid w:val="00D34E44"/>
    <w:pPr>
      <w:jc w:val="left"/>
    </w:pPr>
  </w:style>
  <w:style w:type="character" w:customStyle="1" w:styleId="CommentTextChar">
    <w:name w:val="Comment Text Char"/>
    <w:basedOn w:val="DefaultParagraphFont"/>
    <w:link w:val="CommentText"/>
    <w:uiPriority w:val="99"/>
    <w:semiHidden/>
    <w:locked/>
    <w:rsid w:val="00D34E44"/>
    <w:rPr>
      <w:rFonts w:cs="Times New Roman"/>
    </w:rPr>
  </w:style>
  <w:style w:type="table" w:styleId="TableGrid">
    <w:name w:val="Table Grid"/>
    <w:basedOn w:val="TableNormal"/>
    <w:uiPriority w:val="99"/>
    <w:rsid w:val="002C0EC2"/>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mmentSubject">
    <w:name w:val="annotation subject"/>
    <w:basedOn w:val="CommentText"/>
    <w:next w:val="CommentText"/>
    <w:link w:val="CommentSubjectChar"/>
    <w:uiPriority w:val="99"/>
    <w:semiHidden/>
    <w:rsid w:val="007C7AEA"/>
    <w:rPr>
      <w:b/>
      <w:bCs/>
    </w:rPr>
  </w:style>
  <w:style w:type="character" w:customStyle="1" w:styleId="CommentSubjectChar">
    <w:name w:val="Comment Subject Char"/>
    <w:basedOn w:val="CommentTextChar"/>
    <w:link w:val="CommentSubject"/>
    <w:uiPriority w:val="99"/>
    <w:semiHidden/>
    <w:locked/>
    <w:rsid w:val="007C7AEA"/>
    <w:rPr>
      <w:b/>
      <w:bCs/>
    </w:rPr>
  </w:style>
  <w:style w:type="paragraph" w:styleId="Revision">
    <w:name w:val="Revision"/>
    <w:hidden/>
    <w:uiPriority w:val="99"/>
    <w:semiHidden/>
    <w:rsid w:val="002109E3"/>
    <w:rPr>
      <w:lang w:eastAsia="ja-JP"/>
    </w:rPr>
  </w:style>
  <w:style w:type="character" w:styleId="LineNumber">
    <w:name w:val="line number"/>
    <w:basedOn w:val="DefaultParagraphFont"/>
    <w:uiPriority w:val="99"/>
    <w:semiHidden/>
    <w:rsid w:val="00212B22"/>
    <w:rPr>
      <w:rFonts w:cs="Times New Roman"/>
    </w:rPr>
  </w:style>
</w:styles>
</file>

<file path=word/webSettings.xml><?xml version="1.0" encoding="utf-8"?>
<w:webSettings xmlns:r="http://schemas.openxmlformats.org/officeDocument/2006/relationships" xmlns:w="http://schemas.openxmlformats.org/wordprocessingml/2006/main">
  <w:divs>
    <w:div w:id="567348332">
      <w:marLeft w:val="0"/>
      <w:marRight w:val="0"/>
      <w:marTop w:val="0"/>
      <w:marBottom w:val="0"/>
      <w:divBdr>
        <w:top w:val="none" w:sz="0" w:space="0" w:color="auto"/>
        <w:left w:val="none" w:sz="0" w:space="0" w:color="auto"/>
        <w:bottom w:val="none" w:sz="0" w:space="0" w:color="auto"/>
        <w:right w:val="none" w:sz="0" w:space="0" w:color="auto"/>
      </w:divBdr>
    </w:div>
    <w:div w:id="567348333">
      <w:marLeft w:val="0"/>
      <w:marRight w:val="0"/>
      <w:marTop w:val="0"/>
      <w:marBottom w:val="0"/>
      <w:divBdr>
        <w:top w:val="none" w:sz="0" w:space="0" w:color="auto"/>
        <w:left w:val="none" w:sz="0" w:space="0" w:color="auto"/>
        <w:bottom w:val="none" w:sz="0" w:space="0" w:color="auto"/>
        <w:right w:val="none" w:sz="0" w:space="0" w:color="auto"/>
      </w:divBdr>
    </w:div>
    <w:div w:id="567348334">
      <w:marLeft w:val="0"/>
      <w:marRight w:val="0"/>
      <w:marTop w:val="0"/>
      <w:marBottom w:val="0"/>
      <w:divBdr>
        <w:top w:val="none" w:sz="0" w:space="0" w:color="auto"/>
        <w:left w:val="none" w:sz="0" w:space="0" w:color="auto"/>
        <w:bottom w:val="none" w:sz="0" w:space="0" w:color="auto"/>
        <w:right w:val="none" w:sz="0" w:space="0" w:color="auto"/>
      </w:divBdr>
    </w:div>
    <w:div w:id="567348335">
      <w:marLeft w:val="0"/>
      <w:marRight w:val="0"/>
      <w:marTop w:val="0"/>
      <w:marBottom w:val="0"/>
      <w:divBdr>
        <w:top w:val="none" w:sz="0" w:space="0" w:color="auto"/>
        <w:left w:val="none" w:sz="0" w:space="0" w:color="auto"/>
        <w:bottom w:val="none" w:sz="0" w:space="0" w:color="auto"/>
        <w:right w:val="none" w:sz="0" w:space="0" w:color="auto"/>
      </w:divBdr>
    </w:div>
    <w:div w:id="56734833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nakanishi@gifu-pu.ac.jp" TargetMode="External"/><Relationship Id="rId11" Type="http://schemas.openxmlformats.org/officeDocument/2006/relationships/image" Target="media/image5.png"/><Relationship Id="rId5" Type="http://schemas.openxmlformats.org/officeDocument/2006/relationships/endnotes" Target="endnotes.xml"/><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TotalTime>
  <Pages>13</Pages>
  <Words>1523</Words>
  <Characters>8683</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Supplemental information</dc:title>
  <dc:subject/>
  <dc:creator>keishi ishida</dc:creator>
  <cp:keywords/>
  <dc:description/>
  <cp:lastModifiedBy>微软用户</cp:lastModifiedBy>
  <cp:revision>2</cp:revision>
  <dcterms:created xsi:type="dcterms:W3CDTF">2020-05-18T02:06:00Z</dcterms:created>
  <dcterms:modified xsi:type="dcterms:W3CDTF">2020-05-18T02:06:00Z</dcterms:modified>
</cp:coreProperties>
</file>