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10B9" w:rsidRPr="009302E9" w:rsidRDefault="007810B9" w:rsidP="00725862">
      <w:pPr>
        <w:jc w:val="center"/>
        <w:rPr>
          <w:sz w:val="24"/>
        </w:rPr>
      </w:pPr>
      <w:r>
        <w:rPr>
          <w:sz w:val="24"/>
        </w:rPr>
        <w:t>S</w:t>
      </w:r>
      <w:r w:rsidRPr="00A367BE">
        <w:rPr>
          <w:sz w:val="24"/>
        </w:rPr>
        <w:t xml:space="preserve">upplementary </w:t>
      </w:r>
      <w:r>
        <w:rPr>
          <w:sz w:val="24"/>
        </w:rPr>
        <w:t>D</w:t>
      </w:r>
      <w:r w:rsidRPr="00A367BE">
        <w:rPr>
          <w:sz w:val="24"/>
        </w:rPr>
        <w:t>ata</w:t>
      </w:r>
      <w:r w:rsidRPr="009302E9">
        <w:rPr>
          <w:sz w:val="24"/>
        </w:rPr>
        <w:t xml:space="preserve"> for</w:t>
      </w:r>
    </w:p>
    <w:p w:rsidR="007810B9" w:rsidRPr="009302E9" w:rsidRDefault="007810B9">
      <w:pPr>
        <w:rPr>
          <w:sz w:val="24"/>
        </w:rPr>
      </w:pPr>
    </w:p>
    <w:p w:rsidR="007810B9" w:rsidRPr="009302E9" w:rsidRDefault="007810B9" w:rsidP="00C87223">
      <w:pPr>
        <w:spacing w:line="480" w:lineRule="auto"/>
        <w:jc w:val="center"/>
        <w:rPr>
          <w:sz w:val="24"/>
        </w:rPr>
      </w:pPr>
      <w:r w:rsidRPr="00971457">
        <w:rPr>
          <w:sz w:val="24"/>
        </w:rPr>
        <w:t>Screening of chemicals with binding activities of Liver X receptors from reclaimed waters</w:t>
      </w:r>
    </w:p>
    <w:p w:rsidR="007810B9" w:rsidRPr="009302E9" w:rsidRDefault="007810B9">
      <w:pPr>
        <w:rPr>
          <w:sz w:val="24"/>
        </w:rPr>
      </w:pPr>
    </w:p>
    <w:p w:rsidR="007810B9" w:rsidRPr="00823E46" w:rsidRDefault="007810B9" w:rsidP="00971457">
      <w:pPr>
        <w:spacing w:line="480" w:lineRule="auto"/>
        <w:rPr>
          <w:sz w:val="24"/>
        </w:rPr>
      </w:pPr>
      <w:r w:rsidRPr="00823E46">
        <w:rPr>
          <w:sz w:val="24"/>
        </w:rPr>
        <w:t>Haifeng Zhang</w:t>
      </w:r>
      <w:r w:rsidRPr="006A37CF">
        <w:rPr>
          <w:sz w:val="24"/>
          <w:vertAlign w:val="superscript"/>
        </w:rPr>
        <w:t>1</w:t>
      </w:r>
      <w:r w:rsidRPr="00823E46">
        <w:rPr>
          <w:sz w:val="24"/>
        </w:rPr>
        <w:t>, Yingting Jia</w:t>
      </w:r>
      <w:r w:rsidRPr="006A37CF">
        <w:rPr>
          <w:sz w:val="24"/>
          <w:vertAlign w:val="superscript"/>
        </w:rPr>
        <w:t>2</w:t>
      </w:r>
      <w:r w:rsidRPr="00823E46">
        <w:rPr>
          <w:sz w:val="24"/>
        </w:rPr>
        <w:t>,</w:t>
      </w:r>
      <w:r w:rsidRPr="006A37CF">
        <w:rPr>
          <w:sz w:val="24"/>
        </w:rPr>
        <w:t xml:space="preserve"> </w:t>
      </w:r>
      <w:r w:rsidRPr="00823E46">
        <w:rPr>
          <w:sz w:val="24"/>
        </w:rPr>
        <w:t>Zhuoheng Tang</w:t>
      </w:r>
      <w:r w:rsidRPr="006A37CF">
        <w:rPr>
          <w:sz w:val="24"/>
          <w:vertAlign w:val="superscript"/>
        </w:rPr>
        <w:t>2,3</w:t>
      </w:r>
      <w:r w:rsidRPr="00823E46">
        <w:rPr>
          <w:sz w:val="24"/>
        </w:rPr>
        <w:t>, Lei Wang</w:t>
      </w:r>
      <w:r w:rsidRPr="006A37CF">
        <w:rPr>
          <w:sz w:val="24"/>
          <w:vertAlign w:val="superscript"/>
        </w:rPr>
        <w:t>2</w:t>
      </w:r>
      <w:r w:rsidRPr="00823E46">
        <w:rPr>
          <w:sz w:val="24"/>
        </w:rPr>
        <w:t>, Wenxin Hu</w:t>
      </w:r>
      <w:r w:rsidRPr="006A37CF">
        <w:rPr>
          <w:sz w:val="24"/>
          <w:vertAlign w:val="superscript"/>
        </w:rPr>
        <w:t>2</w:t>
      </w:r>
      <w:r w:rsidRPr="00823E46">
        <w:rPr>
          <w:sz w:val="24"/>
        </w:rPr>
        <w:t>, Junmin Gao</w:t>
      </w:r>
      <w:r w:rsidRPr="006A37CF">
        <w:rPr>
          <w:sz w:val="24"/>
          <w:vertAlign w:val="superscript"/>
        </w:rPr>
        <w:t>3</w:t>
      </w:r>
      <w:r w:rsidRPr="00823E46">
        <w:rPr>
          <w:sz w:val="24"/>
        </w:rPr>
        <w:t>, Jianying Hu</w:t>
      </w:r>
      <w:r w:rsidRPr="006A37CF">
        <w:rPr>
          <w:sz w:val="24"/>
          <w:vertAlign w:val="superscript"/>
        </w:rPr>
        <w:t>2</w:t>
      </w:r>
      <w:r w:rsidRPr="00823E46">
        <w:rPr>
          <w:sz w:val="24"/>
        </w:rPr>
        <w:t>, Min Yang</w:t>
      </w:r>
      <w:r w:rsidRPr="006A37CF">
        <w:rPr>
          <w:sz w:val="24"/>
          <w:vertAlign w:val="superscript"/>
        </w:rPr>
        <w:t>1,4</w:t>
      </w:r>
      <w:r>
        <w:rPr>
          <w:sz w:val="24"/>
        </w:rPr>
        <w:t>*</w:t>
      </w:r>
    </w:p>
    <w:p w:rsidR="007810B9" w:rsidRPr="00823E46" w:rsidRDefault="007810B9" w:rsidP="00971457">
      <w:pPr>
        <w:spacing w:line="480" w:lineRule="auto"/>
        <w:rPr>
          <w:sz w:val="24"/>
        </w:rPr>
      </w:pPr>
      <w:r w:rsidRPr="00823E46">
        <w:rPr>
          <w:sz w:val="24"/>
          <w:vertAlign w:val="superscript"/>
        </w:rPr>
        <w:t>1</w:t>
      </w:r>
      <w:r w:rsidRPr="00823E46">
        <w:rPr>
          <w:sz w:val="24"/>
        </w:rPr>
        <w:t>Key Laboratory of Drinking Water Science and Technology, Research Center for Eco-Environmental Sciences, Chinese Academy of Sciences, Beijing 100085, China</w:t>
      </w:r>
    </w:p>
    <w:p w:rsidR="007810B9" w:rsidRDefault="007810B9" w:rsidP="00971457">
      <w:pPr>
        <w:spacing w:line="480" w:lineRule="auto"/>
        <w:rPr>
          <w:sz w:val="24"/>
        </w:rPr>
      </w:pPr>
      <w:r w:rsidRPr="00823E46">
        <w:rPr>
          <w:sz w:val="24"/>
          <w:vertAlign w:val="superscript"/>
        </w:rPr>
        <w:t>2</w:t>
      </w:r>
      <w:r w:rsidRPr="00823E46">
        <w:rPr>
          <w:sz w:val="24"/>
        </w:rPr>
        <w:t>Laboratory for Earth Surface Processes, College of Urban and Environmental Sciences, Peking University, China.</w:t>
      </w:r>
    </w:p>
    <w:p w:rsidR="007810B9" w:rsidRPr="00823E46" w:rsidRDefault="007810B9" w:rsidP="00971457">
      <w:pPr>
        <w:spacing w:line="480" w:lineRule="auto"/>
        <w:rPr>
          <w:sz w:val="24"/>
        </w:rPr>
      </w:pPr>
      <w:r w:rsidRPr="006A37CF">
        <w:rPr>
          <w:sz w:val="24"/>
          <w:vertAlign w:val="superscript"/>
        </w:rPr>
        <w:t>3</w:t>
      </w:r>
      <w:r w:rsidRPr="006A37CF">
        <w:rPr>
          <w:sz w:val="24"/>
        </w:rPr>
        <w:t>Key Laboratory of the Three Gorges Reservoir Region’s Eco-Environment, Ministry of Education, Chongqing University, Chongqing 400045, China</w:t>
      </w:r>
    </w:p>
    <w:p w:rsidR="007810B9" w:rsidRDefault="007810B9" w:rsidP="00971457">
      <w:pPr>
        <w:spacing w:line="480" w:lineRule="auto"/>
        <w:rPr>
          <w:b/>
          <w:sz w:val="24"/>
        </w:rPr>
      </w:pPr>
      <w:r>
        <w:rPr>
          <w:sz w:val="24"/>
          <w:vertAlign w:val="superscript"/>
        </w:rPr>
        <w:t>4</w:t>
      </w:r>
      <w:r w:rsidRPr="00823E46">
        <w:rPr>
          <w:sz w:val="24"/>
        </w:rPr>
        <w:t>University of Chinese Academy of Sciences, Beijing 100049, China</w:t>
      </w:r>
    </w:p>
    <w:p w:rsidR="007810B9" w:rsidRPr="00627A9D" w:rsidRDefault="007810B9" w:rsidP="00971457">
      <w:pPr>
        <w:spacing w:line="480" w:lineRule="auto"/>
        <w:rPr>
          <w:b/>
          <w:sz w:val="24"/>
        </w:rPr>
      </w:pPr>
    </w:p>
    <w:p w:rsidR="007810B9" w:rsidRPr="00EC4273" w:rsidRDefault="007810B9" w:rsidP="00971457">
      <w:pPr>
        <w:spacing w:line="480" w:lineRule="auto"/>
        <w:rPr>
          <w:sz w:val="24"/>
        </w:rPr>
      </w:pPr>
      <w:r w:rsidRPr="00EC4273">
        <w:rPr>
          <w:sz w:val="24"/>
        </w:rPr>
        <w:t>* Corresponding author:</w:t>
      </w:r>
    </w:p>
    <w:p w:rsidR="007810B9" w:rsidRPr="00EC4273" w:rsidRDefault="007810B9" w:rsidP="00971457">
      <w:pPr>
        <w:spacing w:line="480" w:lineRule="auto"/>
        <w:rPr>
          <w:sz w:val="24"/>
        </w:rPr>
      </w:pPr>
      <w:r w:rsidRPr="00EC4273">
        <w:rPr>
          <w:sz w:val="24"/>
        </w:rPr>
        <w:t>Min Yang; Phone: +86-10-62923475; Email: yangmin@rcees.ac.cn</w:t>
      </w:r>
    </w:p>
    <w:p w:rsidR="007810B9" w:rsidRPr="00971457" w:rsidRDefault="007810B9" w:rsidP="00FD0661">
      <w:pPr>
        <w:spacing w:line="480" w:lineRule="auto"/>
        <w:rPr>
          <w:sz w:val="24"/>
        </w:rPr>
      </w:pPr>
    </w:p>
    <w:p w:rsidR="007810B9" w:rsidRPr="00FD0661" w:rsidRDefault="007810B9">
      <w:pPr>
        <w:rPr>
          <w:sz w:val="24"/>
        </w:rPr>
      </w:pPr>
    </w:p>
    <w:p w:rsidR="007810B9" w:rsidRPr="009302E9" w:rsidRDefault="007810B9">
      <w:pPr>
        <w:rPr>
          <w:sz w:val="24"/>
        </w:rPr>
      </w:pPr>
    </w:p>
    <w:p w:rsidR="007810B9" w:rsidRPr="009302E9" w:rsidRDefault="007810B9">
      <w:pPr>
        <w:rPr>
          <w:sz w:val="24"/>
        </w:rPr>
      </w:pPr>
    </w:p>
    <w:p w:rsidR="007810B9" w:rsidRPr="009302E9" w:rsidRDefault="007810B9">
      <w:pPr>
        <w:rPr>
          <w:sz w:val="24"/>
        </w:rPr>
      </w:pPr>
    </w:p>
    <w:p w:rsidR="007810B9" w:rsidRPr="009302E9" w:rsidRDefault="007810B9">
      <w:pPr>
        <w:rPr>
          <w:sz w:val="24"/>
        </w:rPr>
      </w:pPr>
    </w:p>
    <w:p w:rsidR="007810B9" w:rsidRPr="009302E9" w:rsidRDefault="007810B9">
      <w:pPr>
        <w:rPr>
          <w:sz w:val="24"/>
        </w:rPr>
      </w:pPr>
    </w:p>
    <w:p w:rsidR="007810B9" w:rsidRPr="009302E9" w:rsidRDefault="007810B9">
      <w:pPr>
        <w:rPr>
          <w:sz w:val="24"/>
        </w:rPr>
      </w:pPr>
    </w:p>
    <w:p w:rsidR="007810B9" w:rsidRPr="009302E9" w:rsidRDefault="007810B9">
      <w:pPr>
        <w:rPr>
          <w:sz w:val="24"/>
        </w:rPr>
      </w:pPr>
    </w:p>
    <w:p w:rsidR="007810B9" w:rsidRPr="009302E9" w:rsidRDefault="007810B9">
      <w:pPr>
        <w:rPr>
          <w:sz w:val="24"/>
        </w:rPr>
      </w:pPr>
    </w:p>
    <w:p w:rsidR="007810B9" w:rsidRDefault="007810B9">
      <w:pPr>
        <w:rPr>
          <w:sz w:val="24"/>
        </w:rPr>
      </w:pPr>
    </w:p>
    <w:p w:rsidR="007810B9" w:rsidRDefault="007810B9">
      <w:pPr>
        <w:rPr>
          <w:sz w:val="24"/>
        </w:rPr>
      </w:pPr>
    </w:p>
    <w:p w:rsidR="007810B9" w:rsidRPr="00971457" w:rsidRDefault="007810B9" w:rsidP="00971457">
      <w:pPr>
        <w:spacing w:line="320" w:lineRule="exact"/>
        <w:rPr>
          <w:b/>
          <w:sz w:val="24"/>
        </w:rPr>
      </w:pPr>
      <w:r w:rsidRPr="00971457">
        <w:rPr>
          <w:b/>
          <w:sz w:val="24"/>
        </w:rPr>
        <w:t xml:space="preserve">Preparation of LXRα receptor protein </w:t>
      </w:r>
    </w:p>
    <w:p w:rsidR="007810B9" w:rsidRPr="00971457" w:rsidRDefault="007810B9" w:rsidP="00971457">
      <w:pPr>
        <w:spacing w:line="320" w:lineRule="exact"/>
        <w:rPr>
          <w:sz w:val="24"/>
          <w:u w:val="single"/>
        </w:rPr>
      </w:pPr>
    </w:p>
    <w:p w:rsidR="007810B9" w:rsidRDefault="007810B9" w:rsidP="00971457">
      <w:pPr>
        <w:spacing w:line="400" w:lineRule="exact"/>
        <w:rPr>
          <w:sz w:val="24"/>
        </w:rPr>
      </w:pPr>
      <w:r w:rsidRPr="00971457">
        <w:rPr>
          <w:sz w:val="24"/>
        </w:rPr>
        <w:t>The freshly purified LXRα receptor protein was prepared as described by Hu et al., (2019). The full-length human LXRα gene was amplified by polymerase chain reaction (PCR) using KOD FX Neo DNA polymerase A plasmid vector pCMX-hLXRα, kindly provided by Dr. D. Mangelsdorf from the University of Texas Southwestern Medical Center, was used as atemplate. After preincubation at 94°C for 2 min, PCR was performed with 40 cycles of 98°C (10s), 58°C (30s), and 72°C (60s).Primers used were as follows:</w:t>
      </w:r>
    </w:p>
    <w:p w:rsidR="007810B9" w:rsidRPr="00971457" w:rsidRDefault="007810B9" w:rsidP="00971457">
      <w:pPr>
        <w:spacing w:line="320" w:lineRule="exact"/>
        <w:rPr>
          <w:sz w:val="24"/>
        </w:rPr>
      </w:pPr>
    </w:p>
    <w:p w:rsidR="007810B9" w:rsidRPr="00971457" w:rsidRDefault="007810B9" w:rsidP="00971457">
      <w:pPr>
        <w:spacing w:line="400" w:lineRule="exact"/>
        <w:rPr>
          <w:sz w:val="24"/>
        </w:rPr>
      </w:pPr>
      <w:r>
        <w:rPr>
          <w:sz w:val="24"/>
        </w:rPr>
        <w:t>f</w:t>
      </w:r>
      <w:r w:rsidRPr="00971457">
        <w:rPr>
          <w:sz w:val="24"/>
        </w:rPr>
        <w:t>orward</w:t>
      </w:r>
      <w:r>
        <w:rPr>
          <w:sz w:val="24"/>
        </w:rPr>
        <w:t xml:space="preserve"> </w:t>
      </w:r>
      <w:r w:rsidRPr="00971457">
        <w:rPr>
          <w:sz w:val="24"/>
        </w:rPr>
        <w:t>50-GCTCGGTACCCTCGAAATGTCCTTGTGGCTGGG-30</w:t>
      </w:r>
    </w:p>
    <w:p w:rsidR="007810B9" w:rsidRDefault="007810B9" w:rsidP="00971457">
      <w:pPr>
        <w:spacing w:line="400" w:lineRule="exact"/>
        <w:rPr>
          <w:sz w:val="24"/>
        </w:rPr>
      </w:pPr>
      <w:r>
        <w:rPr>
          <w:sz w:val="24"/>
        </w:rPr>
        <w:t>r</w:t>
      </w:r>
      <w:bookmarkStart w:id="0" w:name="_GoBack"/>
      <w:bookmarkEnd w:id="0"/>
      <w:r w:rsidRPr="00971457">
        <w:rPr>
          <w:sz w:val="24"/>
        </w:rPr>
        <w:t>everse</w:t>
      </w:r>
      <w:r>
        <w:rPr>
          <w:sz w:val="24"/>
        </w:rPr>
        <w:t xml:space="preserve"> </w:t>
      </w:r>
      <w:r w:rsidRPr="00971457">
        <w:rPr>
          <w:sz w:val="24"/>
        </w:rPr>
        <w:t>50-ATTCGGATCCCTCGATCATTCGTGCACATCCCAG-30.</w:t>
      </w:r>
    </w:p>
    <w:p w:rsidR="007810B9" w:rsidRPr="00971457" w:rsidRDefault="007810B9" w:rsidP="00971457">
      <w:pPr>
        <w:spacing w:line="320" w:lineRule="exact"/>
        <w:rPr>
          <w:sz w:val="24"/>
        </w:rPr>
      </w:pPr>
    </w:p>
    <w:p w:rsidR="007810B9" w:rsidRPr="00C70304" w:rsidRDefault="007810B9" w:rsidP="00971457">
      <w:pPr>
        <w:spacing w:line="400" w:lineRule="exact"/>
        <w:rPr>
          <w:sz w:val="24"/>
        </w:rPr>
      </w:pPr>
      <w:r w:rsidRPr="00C70304">
        <w:rPr>
          <w:sz w:val="24"/>
        </w:rPr>
        <w:t xml:space="preserve">The amplified circular DNA (cDNA) was subcloned into the pCold-trigger factor (TF) vector predigested with EcoRI using the In-Fusion HD Cloning Kit according to the manufacturer’s instructions. In brief, the 50 ng of predigested plasmid and the100 ng of amplified cDNA were mixed with 2 μL premix solution (In-Fusion HD Cloning Kit), and then the mixture was adjusted to 10 μL using double-distilled water. After incubation at 50°C for 15min, the reaction mixture was transformed into Escherichia coil (E. coli) DH5α-competent cells by heat shock transformation (the mixture was incubated on ice for 30 min, at 42°C for 90 s, and then transferred to ice for another 3 min). The expression plasmids of pCold-His-TF-LXRα or pCold-His-TF were transfected into E. coli BL21 cells by heat shock transformation. The expression of His-TF or His-TF-LXRα was induced with 0.4 mM isopropyl </w:t>
      </w:r>
      <w:r w:rsidRPr="00C70304">
        <w:rPr>
          <w:rFonts w:eastAsia="等线"/>
          <w:sz w:val="24"/>
        </w:rPr>
        <w:t>β</w:t>
      </w:r>
      <w:r w:rsidRPr="00C70304">
        <w:rPr>
          <w:sz w:val="24"/>
        </w:rPr>
        <w:t>-D thiogalactoside at 20°C for18h.The recombinant proteins were purified with a nickel-affinity column (Ni</w:t>
      </w:r>
      <w:r w:rsidRPr="00C70304">
        <w:rPr>
          <w:sz w:val="24"/>
          <w:vertAlign w:val="superscript"/>
        </w:rPr>
        <w:t>2+</w:t>
      </w:r>
      <w:r w:rsidRPr="00C70304">
        <w:rPr>
          <w:sz w:val="24"/>
        </w:rPr>
        <w:t>-charged HiTrap chelating high-performance column from GE Healthcare), followed by a Hitrap desalting (GE Healthcare) to remove imidazole. The expression of His-TF-LXRα was detected by sodium dodecyl sulfate-polyacrylamide gel electrophoresis (SDS-PAGE) (see Figure S1A) with 4% stacking and 15% resolving, and the gel was stained with Coomassie® blue (ImperialChemical).”</w:t>
      </w:r>
    </w:p>
    <w:p w:rsidR="007810B9" w:rsidRPr="00971457" w:rsidRDefault="007810B9">
      <w:pPr>
        <w:rPr>
          <w:sz w:val="24"/>
        </w:rPr>
      </w:pPr>
    </w:p>
    <w:p w:rsidR="007810B9" w:rsidRPr="009302E9" w:rsidRDefault="007810B9" w:rsidP="00425D42">
      <w:pPr>
        <w:jc w:val="center"/>
        <w:rPr>
          <w:sz w:val="24"/>
          <w:lang w:val="de-DE"/>
        </w:rPr>
      </w:pPr>
    </w:p>
    <w:sectPr w:rsidR="007810B9" w:rsidRPr="009302E9" w:rsidSect="00FD0661">
      <w:footerReference w:type="default" r:id="rId6"/>
      <w:pgSz w:w="12242" w:h="15842" w:code="1"/>
      <w:pgMar w:top="1418" w:right="1701" w:bottom="1418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810B9" w:rsidRDefault="007810B9" w:rsidP="00A367BE">
      <w:r>
        <w:separator/>
      </w:r>
    </w:p>
  </w:endnote>
  <w:endnote w:type="continuationSeparator" w:id="0">
    <w:p w:rsidR="007810B9" w:rsidRDefault="007810B9" w:rsidP="00A367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等线">
    <w:altName w:val="DengXian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10B9" w:rsidRDefault="007810B9">
    <w:pPr>
      <w:pStyle w:val="Footer"/>
      <w:jc w:val="center"/>
    </w:pPr>
    <w:fldSimple w:instr="PAGE   \* MERGEFORMAT">
      <w:r w:rsidRPr="00F37F2C">
        <w:rPr>
          <w:noProof/>
          <w:lang w:val="zh-CN"/>
        </w:rPr>
        <w:t>1</w:t>
      </w:r>
    </w:fldSimple>
  </w:p>
  <w:p w:rsidR="007810B9" w:rsidRDefault="007810B9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810B9" w:rsidRDefault="007810B9" w:rsidP="00A367BE">
      <w:r>
        <w:separator/>
      </w:r>
    </w:p>
  </w:footnote>
  <w:footnote w:type="continuationSeparator" w:id="0">
    <w:p w:rsidR="007810B9" w:rsidRDefault="007810B9" w:rsidP="00A367B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15227"/>
    <w:rsid w:val="0000236F"/>
    <w:rsid w:val="0003013E"/>
    <w:rsid w:val="00046764"/>
    <w:rsid w:val="000649A1"/>
    <w:rsid w:val="00094ACA"/>
    <w:rsid w:val="000C4DA2"/>
    <w:rsid w:val="00117DC7"/>
    <w:rsid w:val="001538B8"/>
    <w:rsid w:val="00180969"/>
    <w:rsid w:val="00194B4C"/>
    <w:rsid w:val="00195565"/>
    <w:rsid w:val="001975EA"/>
    <w:rsid w:val="001F7263"/>
    <w:rsid w:val="00211A6E"/>
    <w:rsid w:val="002351D3"/>
    <w:rsid w:val="0024384F"/>
    <w:rsid w:val="00255562"/>
    <w:rsid w:val="00263CD0"/>
    <w:rsid w:val="00271144"/>
    <w:rsid w:val="002C1BC4"/>
    <w:rsid w:val="002C512F"/>
    <w:rsid w:val="002F4527"/>
    <w:rsid w:val="0031071D"/>
    <w:rsid w:val="00321445"/>
    <w:rsid w:val="00364D08"/>
    <w:rsid w:val="00382F3B"/>
    <w:rsid w:val="003B54CC"/>
    <w:rsid w:val="0040691E"/>
    <w:rsid w:val="00425D42"/>
    <w:rsid w:val="00436D51"/>
    <w:rsid w:val="004631FD"/>
    <w:rsid w:val="004A1990"/>
    <w:rsid w:val="004D6145"/>
    <w:rsid w:val="004E04D5"/>
    <w:rsid w:val="004F37CD"/>
    <w:rsid w:val="00552F91"/>
    <w:rsid w:val="00562300"/>
    <w:rsid w:val="00571979"/>
    <w:rsid w:val="005D6848"/>
    <w:rsid w:val="005D6D65"/>
    <w:rsid w:val="005F7C2E"/>
    <w:rsid w:val="00626A53"/>
    <w:rsid w:val="00627A9D"/>
    <w:rsid w:val="006563E0"/>
    <w:rsid w:val="00670FA0"/>
    <w:rsid w:val="006A128C"/>
    <w:rsid w:val="006A37CF"/>
    <w:rsid w:val="006B505C"/>
    <w:rsid w:val="006D6F0D"/>
    <w:rsid w:val="0071049A"/>
    <w:rsid w:val="00725862"/>
    <w:rsid w:val="00732CE1"/>
    <w:rsid w:val="00740115"/>
    <w:rsid w:val="00754F20"/>
    <w:rsid w:val="0075639D"/>
    <w:rsid w:val="0076014A"/>
    <w:rsid w:val="00760AC6"/>
    <w:rsid w:val="007810B9"/>
    <w:rsid w:val="00784E65"/>
    <w:rsid w:val="007A7FB7"/>
    <w:rsid w:val="007B6167"/>
    <w:rsid w:val="007C1726"/>
    <w:rsid w:val="007C3649"/>
    <w:rsid w:val="007C63F9"/>
    <w:rsid w:val="007C6A2D"/>
    <w:rsid w:val="007E4AD5"/>
    <w:rsid w:val="007F5E07"/>
    <w:rsid w:val="008030C3"/>
    <w:rsid w:val="00812975"/>
    <w:rsid w:val="00823E46"/>
    <w:rsid w:val="008512B7"/>
    <w:rsid w:val="0086030F"/>
    <w:rsid w:val="008D7414"/>
    <w:rsid w:val="008F6704"/>
    <w:rsid w:val="00904E83"/>
    <w:rsid w:val="009302E9"/>
    <w:rsid w:val="00941954"/>
    <w:rsid w:val="00952491"/>
    <w:rsid w:val="00971457"/>
    <w:rsid w:val="00974A5C"/>
    <w:rsid w:val="0099510B"/>
    <w:rsid w:val="00996D4B"/>
    <w:rsid w:val="009A17E6"/>
    <w:rsid w:val="009A1BCF"/>
    <w:rsid w:val="009F1462"/>
    <w:rsid w:val="00A27C1F"/>
    <w:rsid w:val="00A35DF1"/>
    <w:rsid w:val="00A367BE"/>
    <w:rsid w:val="00A64535"/>
    <w:rsid w:val="00A92241"/>
    <w:rsid w:val="00AC41DF"/>
    <w:rsid w:val="00AC45CB"/>
    <w:rsid w:val="00B22C19"/>
    <w:rsid w:val="00B351AA"/>
    <w:rsid w:val="00B40755"/>
    <w:rsid w:val="00B8648C"/>
    <w:rsid w:val="00BA3CB2"/>
    <w:rsid w:val="00BB2530"/>
    <w:rsid w:val="00BC6C70"/>
    <w:rsid w:val="00BF1A9D"/>
    <w:rsid w:val="00BF66D1"/>
    <w:rsid w:val="00C275B7"/>
    <w:rsid w:val="00C413BF"/>
    <w:rsid w:val="00C70304"/>
    <w:rsid w:val="00C77A96"/>
    <w:rsid w:val="00C8334F"/>
    <w:rsid w:val="00C87223"/>
    <w:rsid w:val="00CC489F"/>
    <w:rsid w:val="00CD2829"/>
    <w:rsid w:val="00CD5FE7"/>
    <w:rsid w:val="00CF53AA"/>
    <w:rsid w:val="00D37D91"/>
    <w:rsid w:val="00D41FCE"/>
    <w:rsid w:val="00D6147F"/>
    <w:rsid w:val="00D90311"/>
    <w:rsid w:val="00DB0518"/>
    <w:rsid w:val="00DB4850"/>
    <w:rsid w:val="00E15227"/>
    <w:rsid w:val="00E2298A"/>
    <w:rsid w:val="00E56DE8"/>
    <w:rsid w:val="00E70F4E"/>
    <w:rsid w:val="00E74FAB"/>
    <w:rsid w:val="00EA46D9"/>
    <w:rsid w:val="00EC4273"/>
    <w:rsid w:val="00EE0069"/>
    <w:rsid w:val="00F05043"/>
    <w:rsid w:val="00F242FD"/>
    <w:rsid w:val="00F37F2C"/>
    <w:rsid w:val="00F47623"/>
    <w:rsid w:val="00F54488"/>
    <w:rsid w:val="00F55062"/>
    <w:rsid w:val="00F67423"/>
    <w:rsid w:val="00F7530B"/>
    <w:rsid w:val="00F77D89"/>
    <w:rsid w:val="00F923FE"/>
    <w:rsid w:val="00F94101"/>
    <w:rsid w:val="00F9668C"/>
    <w:rsid w:val="00FC7A7B"/>
    <w:rsid w:val="00FD0661"/>
    <w:rsid w:val="00FD5804"/>
    <w:rsid w:val="00FF55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uiPriority="0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locked="1" w:uiPriority="0"/>
    <w:lsdException w:name="Table Simple 2" w:locked="1" w:uiPriority="0"/>
    <w:lsdException w:name="Table Simple 3" w:locked="1" w:uiPriority="0"/>
    <w:lsdException w:name="Table Classic 1" w:locked="1" w:uiPriority="0"/>
    <w:lsdException w:name="Table Classic 2" w:locked="1" w:uiPriority="0"/>
    <w:lsdException w:name="Table Classic 3" w:locked="1" w:uiPriority="0"/>
    <w:lsdException w:name="Table Classic 4" w:locked="1" w:uiPriority="0"/>
    <w:lsdException w:name="Table Colorful 1" w:locked="1" w:uiPriority="0"/>
    <w:lsdException w:name="Table Colorful 2" w:locked="1" w:uiPriority="0"/>
    <w:lsdException w:name="Table Colorful 3" w:locked="1" w:uiPriority="0"/>
    <w:lsdException w:name="Table Columns 1" w:locked="1" w:uiPriority="0"/>
    <w:lsdException w:name="Table Columns 2" w:locked="1" w:uiPriority="0"/>
    <w:lsdException w:name="Table Columns 3" w:locked="1" w:uiPriority="0"/>
    <w:lsdException w:name="Table Columns 4" w:locked="1" w:uiPriority="0"/>
    <w:lsdException w:name="Table Columns 5" w:locked="1" w:uiPriority="0"/>
    <w:lsdException w:name="Table Grid 1" w:locked="1" w:uiPriority="0"/>
    <w:lsdException w:name="Table Grid 2" w:locked="1" w:uiPriority="0"/>
    <w:lsdException w:name="Table Grid 3" w:locked="1" w:uiPriority="0"/>
    <w:lsdException w:name="Table Grid 4" w:locked="1" w:uiPriority="0"/>
    <w:lsdException w:name="Table Grid 5" w:locked="1" w:uiPriority="0"/>
    <w:lsdException w:name="Table Grid 6" w:locked="1" w:uiPriority="0"/>
    <w:lsdException w:name="Table Grid 7" w:locked="1" w:uiPriority="0"/>
    <w:lsdException w:name="Table Grid 8" w:locked="1" w:uiPriority="0"/>
    <w:lsdException w:name="Table List 1" w:locked="1" w:uiPriority="0"/>
    <w:lsdException w:name="Table List 2" w:locked="1" w:uiPriority="0"/>
    <w:lsdException w:name="Table List 3" w:locked="1" w:uiPriority="0"/>
    <w:lsdException w:name="Table List 4" w:locked="1" w:uiPriority="0"/>
    <w:lsdException w:name="Table List 5" w:locked="1" w:uiPriority="0"/>
    <w:lsdException w:name="Table List 6" w:locked="1" w:uiPriority="0"/>
    <w:lsdException w:name="Table List 7" w:locked="1" w:uiPriority="0"/>
    <w:lsdException w:name="Table List 8" w:locked="1" w:uiPriority="0"/>
    <w:lsdException w:name="Table 3D effects 1" w:locked="1" w:uiPriority="0"/>
    <w:lsdException w:name="Table 3D effects 2" w:locked="1" w:uiPriority="0"/>
    <w:lsdException w:name="Table 3D effects 3" w:locked="1" w:uiPriority="0"/>
    <w:lsdException w:name="Table Contemporary" w:locked="1" w:uiPriority="0"/>
    <w:lsdException w:name="Table Elegant" w:locked="1" w:uiPriority="0"/>
    <w:lsdException w:name="Table Professional" w:locked="1" w:uiPriority="0"/>
    <w:lsdException w:name="Table Subtle 1" w:locked="1" w:uiPriority="0"/>
    <w:lsdException w:name="Table Subtle 2" w:locked="1" w:uiPriority="0"/>
    <w:lsdException w:name="Table Web 1" w:locked="1" w:uiPriority="0"/>
    <w:lsdException w:name="Table Web 2" w:locked="1" w:uiPriority="0"/>
    <w:lsdException w:name="Table Web 3" w:locked="1" w:uiPriority="0"/>
    <w:lsdException w:name="Balloon Text" w:semiHidden="1" w:unhideWhenUsed="1"/>
    <w:lsdException w:name="Table Grid" w:uiPriority="59"/>
    <w:lsdException w:name="Table Theme" w:locked="1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77A96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4F37CD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A367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A367BE"/>
    <w:rPr>
      <w:kern w:val="2"/>
      <w:sz w:val="18"/>
    </w:rPr>
  </w:style>
  <w:style w:type="paragraph" w:styleId="Footer">
    <w:name w:val="footer"/>
    <w:basedOn w:val="Normal"/>
    <w:link w:val="FooterChar"/>
    <w:uiPriority w:val="99"/>
    <w:rsid w:val="00A367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A367BE"/>
    <w:rPr>
      <w:kern w:val="2"/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4155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55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555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55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555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55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2</Pages>
  <Words>417</Words>
  <Characters>2383</Characters>
  <Application>Microsoft Office Outlook</Application>
  <DocSecurity>0</DocSecurity>
  <Lines>0</Lines>
  <Paragraphs>0</Paragraphs>
  <ScaleCrop>false</ScaleCrop>
  <Company>RCEES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Table S1 Water quality parameters for Mopanshan source water</dc:title>
  <dc:subject/>
  <dc:creator>Haifeng Zhang</dc:creator>
  <cp:keywords/>
  <dc:description/>
  <cp:lastModifiedBy>微软用户</cp:lastModifiedBy>
  <cp:revision>2</cp:revision>
  <dcterms:created xsi:type="dcterms:W3CDTF">2020-05-18T02:44:00Z</dcterms:created>
  <dcterms:modified xsi:type="dcterms:W3CDTF">2020-05-18T02:44:00Z</dcterms:modified>
</cp:coreProperties>
</file>